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5" w:rsidRPr="00002C9D" w:rsidRDefault="00750F45" w:rsidP="00001C60">
      <w:pPr>
        <w:spacing w:after="0"/>
        <w:jc w:val="center"/>
        <w:rPr>
          <w:rFonts w:ascii="Times New Roman" w:hAnsi="Times New Roman" w:cs="Times New Roman"/>
          <w:b/>
          <w:sz w:val="36"/>
          <w:szCs w:val="24"/>
        </w:rPr>
      </w:pPr>
      <w:bookmarkStart w:id="0" w:name="_GoBack"/>
      <w:bookmarkEnd w:id="0"/>
      <w:r w:rsidRPr="00002C9D">
        <w:rPr>
          <w:rFonts w:ascii="Times New Roman" w:hAnsi="Times New Roman" w:cs="Times New Roman"/>
          <w:b/>
          <w:sz w:val="36"/>
          <w:szCs w:val="24"/>
        </w:rPr>
        <w:t>Ser</w:t>
      </w:r>
      <w:r w:rsidR="00852FCD" w:rsidRPr="00002C9D">
        <w:rPr>
          <w:rFonts w:ascii="Times New Roman" w:hAnsi="Times New Roman" w:cs="Times New Roman"/>
          <w:b/>
          <w:sz w:val="36"/>
          <w:szCs w:val="24"/>
        </w:rPr>
        <w:t>vicio Social Comunitario: Una forma de aprendizaje para los e</w:t>
      </w:r>
      <w:r w:rsidRPr="00002C9D">
        <w:rPr>
          <w:rFonts w:ascii="Times New Roman" w:hAnsi="Times New Roman" w:cs="Times New Roman"/>
          <w:b/>
          <w:sz w:val="36"/>
          <w:szCs w:val="24"/>
        </w:rPr>
        <w:t xml:space="preserve">studiantes </w:t>
      </w:r>
      <w:r w:rsidR="00852FCD" w:rsidRPr="00002C9D">
        <w:rPr>
          <w:rFonts w:ascii="Times New Roman" w:hAnsi="Times New Roman" w:cs="Times New Roman"/>
          <w:b/>
          <w:sz w:val="36"/>
          <w:szCs w:val="24"/>
        </w:rPr>
        <w:t>d</w:t>
      </w:r>
      <w:r w:rsidRPr="00002C9D">
        <w:rPr>
          <w:rFonts w:ascii="Times New Roman" w:hAnsi="Times New Roman" w:cs="Times New Roman"/>
          <w:b/>
          <w:sz w:val="36"/>
          <w:szCs w:val="24"/>
        </w:rPr>
        <w:t>el Área Económico-Administrativa</w:t>
      </w:r>
    </w:p>
    <w:p w:rsidR="00F96185" w:rsidRPr="00DB1678" w:rsidRDefault="00F96185" w:rsidP="0061450E">
      <w:pPr>
        <w:jc w:val="right"/>
        <w:rPr>
          <w:rFonts w:ascii="Arial" w:hAnsi="Arial" w:cs="Arial"/>
          <w:b/>
          <w:sz w:val="24"/>
          <w:szCs w:val="24"/>
        </w:rPr>
      </w:pPr>
    </w:p>
    <w:p w:rsidR="00B22F8C" w:rsidRPr="00002C9D" w:rsidRDefault="0061450E" w:rsidP="00002C9D">
      <w:pPr>
        <w:spacing w:after="0"/>
        <w:jc w:val="center"/>
        <w:rPr>
          <w:rFonts w:ascii="Times New Roman" w:hAnsi="Times New Roman" w:cs="Times New Roman"/>
          <w:sz w:val="19"/>
          <w:szCs w:val="19"/>
        </w:rPr>
      </w:pPr>
      <w:r w:rsidRPr="00002C9D">
        <w:rPr>
          <w:rFonts w:ascii="Times New Roman" w:hAnsi="Times New Roman" w:cs="Times New Roman"/>
          <w:sz w:val="19"/>
          <w:szCs w:val="19"/>
        </w:rPr>
        <w:t>Juan Carlos Díaz López</w:t>
      </w:r>
      <w:r w:rsidR="00002C9D" w:rsidRPr="00002C9D">
        <w:rPr>
          <w:rFonts w:ascii="Times New Roman" w:hAnsi="Times New Roman" w:cs="Times New Roman"/>
          <w:sz w:val="19"/>
          <w:szCs w:val="19"/>
        </w:rPr>
        <w:t xml:space="preserve">, </w:t>
      </w:r>
      <w:r w:rsidR="00B22F8C" w:rsidRPr="00002C9D">
        <w:rPr>
          <w:rFonts w:ascii="Times New Roman" w:hAnsi="Times New Roman" w:cs="Times New Roman"/>
          <w:sz w:val="19"/>
          <w:szCs w:val="19"/>
        </w:rPr>
        <w:t>Universidad Juárez Autónoma  de Tabasco</w:t>
      </w:r>
    </w:p>
    <w:p w:rsidR="00B22F8C" w:rsidRPr="00002C9D" w:rsidRDefault="00B22F8C" w:rsidP="00002C9D">
      <w:pPr>
        <w:spacing w:after="0"/>
        <w:jc w:val="center"/>
        <w:rPr>
          <w:rFonts w:ascii="Times New Roman" w:hAnsi="Times New Roman" w:cs="Times New Roman"/>
          <w:sz w:val="19"/>
          <w:szCs w:val="19"/>
        </w:rPr>
      </w:pPr>
      <w:r w:rsidRPr="00002C9D">
        <w:rPr>
          <w:rFonts w:ascii="Times New Roman" w:hAnsi="Times New Roman" w:cs="Times New Roman"/>
          <w:sz w:val="19"/>
          <w:szCs w:val="19"/>
        </w:rPr>
        <w:t>Dra. Cecilia García Muñoz Aparicio</w:t>
      </w:r>
      <w:r w:rsidR="00002C9D" w:rsidRPr="00002C9D">
        <w:rPr>
          <w:rFonts w:ascii="Times New Roman" w:hAnsi="Times New Roman" w:cs="Times New Roman"/>
          <w:sz w:val="19"/>
          <w:szCs w:val="19"/>
        </w:rPr>
        <w:t xml:space="preserve">, </w:t>
      </w:r>
      <w:r w:rsidRPr="00002C9D">
        <w:rPr>
          <w:rFonts w:ascii="Times New Roman" w:hAnsi="Times New Roman" w:cs="Times New Roman"/>
          <w:sz w:val="19"/>
          <w:szCs w:val="19"/>
        </w:rPr>
        <w:t>Universidad Juárez Autónoma  de Tabasco</w:t>
      </w:r>
    </w:p>
    <w:p w:rsidR="00B22F8C" w:rsidRPr="00002C9D" w:rsidRDefault="00B22F8C" w:rsidP="00002C9D">
      <w:pPr>
        <w:spacing w:after="0"/>
        <w:jc w:val="center"/>
        <w:rPr>
          <w:rFonts w:ascii="Times New Roman" w:hAnsi="Times New Roman" w:cs="Times New Roman"/>
          <w:sz w:val="19"/>
          <w:szCs w:val="19"/>
        </w:rPr>
      </w:pPr>
      <w:r w:rsidRPr="00002C9D">
        <w:rPr>
          <w:rFonts w:ascii="Times New Roman" w:hAnsi="Times New Roman" w:cs="Times New Roman"/>
          <w:sz w:val="19"/>
          <w:szCs w:val="19"/>
        </w:rPr>
        <w:t>M.A. María del Carmen Ancona Alcocer</w:t>
      </w:r>
      <w:r w:rsidR="00002C9D" w:rsidRPr="00002C9D">
        <w:rPr>
          <w:rFonts w:ascii="Times New Roman" w:hAnsi="Times New Roman" w:cs="Times New Roman"/>
          <w:sz w:val="19"/>
          <w:szCs w:val="19"/>
        </w:rPr>
        <w:t xml:space="preserve">, </w:t>
      </w:r>
      <w:r w:rsidRPr="00002C9D">
        <w:rPr>
          <w:rFonts w:ascii="Times New Roman" w:hAnsi="Times New Roman" w:cs="Times New Roman"/>
          <w:sz w:val="19"/>
          <w:szCs w:val="19"/>
        </w:rPr>
        <w:t>Universidad Juárez Autónoma  de Tabasco</w:t>
      </w:r>
    </w:p>
    <w:p w:rsidR="00B22F8C" w:rsidRPr="00002C9D" w:rsidRDefault="00B22F8C" w:rsidP="00002C9D">
      <w:pPr>
        <w:spacing w:after="0"/>
        <w:jc w:val="center"/>
        <w:rPr>
          <w:rFonts w:ascii="Times New Roman" w:hAnsi="Times New Roman" w:cs="Times New Roman"/>
          <w:sz w:val="19"/>
          <w:szCs w:val="19"/>
        </w:rPr>
      </w:pPr>
      <w:r w:rsidRPr="00002C9D">
        <w:rPr>
          <w:rFonts w:ascii="Times New Roman" w:hAnsi="Times New Roman" w:cs="Times New Roman"/>
          <w:sz w:val="19"/>
          <w:szCs w:val="19"/>
        </w:rPr>
        <w:t>M.A. María del Carmen Navarrete Torres</w:t>
      </w:r>
      <w:r w:rsidR="00002C9D" w:rsidRPr="00002C9D">
        <w:rPr>
          <w:rFonts w:ascii="Times New Roman" w:hAnsi="Times New Roman" w:cs="Times New Roman"/>
          <w:sz w:val="19"/>
          <w:szCs w:val="19"/>
        </w:rPr>
        <w:t xml:space="preserve">, </w:t>
      </w:r>
      <w:r w:rsidRPr="00002C9D">
        <w:rPr>
          <w:rFonts w:ascii="Times New Roman" w:hAnsi="Times New Roman" w:cs="Times New Roman"/>
          <w:sz w:val="19"/>
          <w:szCs w:val="19"/>
        </w:rPr>
        <w:t>Universidad Juárez Autónoma  de Tabasco</w:t>
      </w:r>
    </w:p>
    <w:p w:rsidR="0061450E" w:rsidRPr="00DB1678" w:rsidRDefault="0061450E" w:rsidP="00BD7B29">
      <w:pPr>
        <w:jc w:val="both"/>
        <w:rPr>
          <w:rFonts w:ascii="Arial" w:hAnsi="Arial" w:cs="Arial"/>
          <w:b/>
          <w:color w:val="000000"/>
          <w:sz w:val="24"/>
          <w:szCs w:val="24"/>
        </w:rPr>
      </w:pPr>
    </w:p>
    <w:p w:rsidR="00F96185" w:rsidRPr="007861DC" w:rsidRDefault="00C37F15" w:rsidP="00BD7B29">
      <w:pPr>
        <w:jc w:val="both"/>
        <w:rPr>
          <w:rFonts w:ascii="Times New Roman" w:hAnsi="Times New Roman" w:cs="Times New Roman"/>
          <w:i/>
          <w:sz w:val="16"/>
          <w:szCs w:val="24"/>
        </w:rPr>
      </w:pPr>
      <w:r w:rsidRPr="007861DC">
        <w:rPr>
          <w:rFonts w:ascii="Times New Roman" w:hAnsi="Times New Roman" w:cs="Times New Roman"/>
          <w:b/>
          <w:i/>
          <w:color w:val="000000"/>
          <w:sz w:val="16"/>
          <w:szCs w:val="24"/>
        </w:rPr>
        <w:t xml:space="preserve">Resumen: </w:t>
      </w:r>
      <w:r w:rsidR="006F1A9D" w:rsidRPr="007861DC">
        <w:rPr>
          <w:rFonts w:ascii="Times New Roman" w:hAnsi="Times New Roman" w:cs="Times New Roman"/>
          <w:i/>
          <w:color w:val="000000"/>
          <w:sz w:val="16"/>
          <w:szCs w:val="24"/>
        </w:rPr>
        <w:t xml:space="preserve">El </w:t>
      </w:r>
      <w:r w:rsidR="00155BBC" w:rsidRPr="007861DC">
        <w:rPr>
          <w:rFonts w:ascii="Times New Roman" w:hAnsi="Times New Roman" w:cs="Times New Roman"/>
          <w:i/>
          <w:color w:val="000000"/>
          <w:sz w:val="16"/>
          <w:szCs w:val="24"/>
        </w:rPr>
        <w:t>Se</w:t>
      </w:r>
      <w:r w:rsidR="00B22F8C" w:rsidRPr="007861DC">
        <w:rPr>
          <w:rFonts w:ascii="Times New Roman" w:hAnsi="Times New Roman" w:cs="Times New Roman"/>
          <w:i/>
          <w:color w:val="000000"/>
          <w:sz w:val="16"/>
          <w:szCs w:val="24"/>
        </w:rPr>
        <w:t>rvicio Social Comunitario</w:t>
      </w:r>
      <w:r w:rsidR="00DB1678" w:rsidRPr="007861DC">
        <w:rPr>
          <w:rFonts w:ascii="Times New Roman" w:hAnsi="Times New Roman" w:cs="Times New Roman"/>
          <w:i/>
          <w:color w:val="000000"/>
          <w:sz w:val="16"/>
          <w:szCs w:val="24"/>
        </w:rPr>
        <w:t xml:space="preserve"> reside en la </w:t>
      </w:r>
      <w:r w:rsidR="00155BBC" w:rsidRPr="007861DC">
        <w:rPr>
          <w:rFonts w:ascii="Times New Roman" w:hAnsi="Times New Roman" w:cs="Times New Roman"/>
          <w:i/>
          <w:color w:val="000000"/>
          <w:sz w:val="16"/>
          <w:szCs w:val="24"/>
        </w:rPr>
        <w:t>ori</w:t>
      </w:r>
      <w:r w:rsidR="00DB1678" w:rsidRPr="007861DC">
        <w:rPr>
          <w:rFonts w:ascii="Times New Roman" w:hAnsi="Times New Roman" w:cs="Times New Roman"/>
          <w:i/>
          <w:color w:val="000000"/>
          <w:sz w:val="16"/>
          <w:szCs w:val="24"/>
        </w:rPr>
        <w:t>entación</w:t>
      </w:r>
      <w:r w:rsidR="00A86150" w:rsidRPr="007861DC">
        <w:rPr>
          <w:rFonts w:ascii="Times New Roman" w:hAnsi="Times New Roman" w:cs="Times New Roman"/>
          <w:i/>
          <w:color w:val="000000"/>
          <w:sz w:val="16"/>
          <w:szCs w:val="24"/>
        </w:rPr>
        <w:t xml:space="preserve"> hacia el</w:t>
      </w:r>
      <w:r w:rsidR="00747006" w:rsidRPr="007861DC">
        <w:rPr>
          <w:rFonts w:ascii="Times New Roman" w:hAnsi="Times New Roman" w:cs="Times New Roman"/>
          <w:i/>
          <w:color w:val="000000"/>
          <w:sz w:val="16"/>
          <w:szCs w:val="24"/>
        </w:rPr>
        <w:t xml:space="preserve"> desarrollo profesional mediante</w:t>
      </w:r>
      <w:r w:rsidR="00155BBC" w:rsidRPr="007861DC">
        <w:rPr>
          <w:rFonts w:ascii="Times New Roman" w:hAnsi="Times New Roman" w:cs="Times New Roman"/>
          <w:i/>
          <w:color w:val="000000"/>
          <w:sz w:val="16"/>
          <w:szCs w:val="24"/>
        </w:rPr>
        <w:t xml:space="preserve"> el esfuerzo, habilidades y destrezas de los </w:t>
      </w:r>
      <w:r w:rsidR="00B22F8C" w:rsidRPr="007861DC">
        <w:rPr>
          <w:rFonts w:ascii="Times New Roman" w:hAnsi="Times New Roman" w:cs="Times New Roman"/>
          <w:i/>
          <w:color w:val="000000"/>
          <w:sz w:val="16"/>
          <w:szCs w:val="24"/>
        </w:rPr>
        <w:t>estudiantes</w:t>
      </w:r>
      <w:r w:rsidR="00155BBC" w:rsidRPr="007861DC">
        <w:rPr>
          <w:rFonts w:ascii="Times New Roman" w:hAnsi="Times New Roman" w:cs="Times New Roman"/>
          <w:i/>
          <w:color w:val="000000"/>
          <w:sz w:val="16"/>
          <w:szCs w:val="24"/>
        </w:rPr>
        <w:t xml:space="preserve"> pr</w:t>
      </w:r>
      <w:r w:rsidR="00420576" w:rsidRPr="007861DC">
        <w:rPr>
          <w:rFonts w:ascii="Times New Roman" w:hAnsi="Times New Roman" w:cs="Times New Roman"/>
          <w:i/>
          <w:color w:val="000000"/>
          <w:sz w:val="16"/>
          <w:szCs w:val="24"/>
        </w:rPr>
        <w:t>estadores de servicio social,</w:t>
      </w:r>
      <w:r w:rsidR="00DB1678" w:rsidRPr="007861DC">
        <w:rPr>
          <w:rFonts w:ascii="Times New Roman" w:hAnsi="Times New Roman" w:cs="Times New Roman"/>
          <w:i/>
          <w:color w:val="000000"/>
          <w:sz w:val="16"/>
          <w:szCs w:val="24"/>
        </w:rPr>
        <w:t xml:space="preserve"> así mismo,</w:t>
      </w:r>
      <w:r w:rsidR="00420576" w:rsidRPr="007861DC">
        <w:rPr>
          <w:rFonts w:ascii="Times New Roman" w:hAnsi="Times New Roman" w:cs="Times New Roman"/>
          <w:i/>
          <w:color w:val="000000"/>
          <w:sz w:val="16"/>
          <w:szCs w:val="24"/>
        </w:rPr>
        <w:t xml:space="preserve"> constituye un</w:t>
      </w:r>
      <w:r w:rsidR="00155BBC" w:rsidRPr="007861DC">
        <w:rPr>
          <w:rFonts w:ascii="Times New Roman" w:hAnsi="Times New Roman" w:cs="Times New Roman"/>
          <w:i/>
          <w:color w:val="000000"/>
          <w:sz w:val="16"/>
          <w:szCs w:val="24"/>
        </w:rPr>
        <w:t xml:space="preserve"> beneficio </w:t>
      </w:r>
      <w:r w:rsidR="00420576" w:rsidRPr="007861DC">
        <w:rPr>
          <w:rFonts w:ascii="Times New Roman" w:hAnsi="Times New Roman" w:cs="Times New Roman"/>
          <w:i/>
          <w:color w:val="000000"/>
          <w:sz w:val="16"/>
          <w:szCs w:val="24"/>
        </w:rPr>
        <w:t>para</w:t>
      </w:r>
      <w:r w:rsidR="00155BBC" w:rsidRPr="007861DC">
        <w:rPr>
          <w:rFonts w:ascii="Times New Roman" w:hAnsi="Times New Roman" w:cs="Times New Roman"/>
          <w:i/>
          <w:color w:val="000000"/>
          <w:sz w:val="16"/>
          <w:szCs w:val="24"/>
        </w:rPr>
        <w:t xml:space="preserve"> la población, </w:t>
      </w:r>
      <w:r w:rsidR="00420576" w:rsidRPr="007861DC">
        <w:rPr>
          <w:rFonts w:ascii="Times New Roman" w:hAnsi="Times New Roman" w:cs="Times New Roman"/>
          <w:i/>
          <w:color w:val="000000"/>
          <w:sz w:val="16"/>
          <w:szCs w:val="24"/>
        </w:rPr>
        <w:t>en la</w:t>
      </w:r>
      <w:r w:rsidR="00B22F8C" w:rsidRPr="007861DC">
        <w:rPr>
          <w:rFonts w:ascii="Times New Roman" w:hAnsi="Times New Roman" w:cs="Times New Roman"/>
          <w:i/>
          <w:color w:val="000000"/>
          <w:sz w:val="16"/>
          <w:szCs w:val="24"/>
        </w:rPr>
        <w:t xml:space="preserve"> cual</w:t>
      </w:r>
      <w:r w:rsidR="007078A8" w:rsidRPr="007861DC">
        <w:rPr>
          <w:rFonts w:ascii="Times New Roman" w:hAnsi="Times New Roman" w:cs="Times New Roman"/>
          <w:i/>
          <w:color w:val="000000"/>
          <w:sz w:val="16"/>
          <w:szCs w:val="24"/>
        </w:rPr>
        <w:t>,</w:t>
      </w:r>
      <w:r w:rsidR="00723BFF" w:rsidRPr="007861DC">
        <w:rPr>
          <w:rFonts w:ascii="Times New Roman" w:hAnsi="Times New Roman" w:cs="Times New Roman"/>
          <w:i/>
          <w:color w:val="000000"/>
          <w:sz w:val="16"/>
          <w:szCs w:val="24"/>
        </w:rPr>
        <w:t xml:space="preserve"> </w:t>
      </w:r>
      <w:r w:rsidR="00B22F8C" w:rsidRPr="007861DC">
        <w:rPr>
          <w:rFonts w:ascii="Times New Roman" w:hAnsi="Times New Roman" w:cs="Times New Roman"/>
          <w:i/>
          <w:color w:val="000000"/>
          <w:sz w:val="16"/>
          <w:szCs w:val="24"/>
        </w:rPr>
        <w:t>el estudiante</w:t>
      </w:r>
      <w:r w:rsidR="006F6170" w:rsidRPr="007861DC">
        <w:rPr>
          <w:rFonts w:ascii="Times New Roman" w:hAnsi="Times New Roman" w:cs="Times New Roman"/>
          <w:i/>
          <w:color w:val="000000"/>
          <w:sz w:val="16"/>
          <w:szCs w:val="24"/>
        </w:rPr>
        <w:t xml:space="preserve">, tendrá la oportunidad de </w:t>
      </w:r>
      <w:r w:rsidR="001F768B" w:rsidRPr="007861DC">
        <w:rPr>
          <w:rFonts w:ascii="Times New Roman" w:hAnsi="Times New Roman" w:cs="Times New Roman"/>
          <w:i/>
          <w:color w:val="000000"/>
          <w:sz w:val="16"/>
          <w:szCs w:val="24"/>
        </w:rPr>
        <w:t>ampliar su aprendizaje y adquirir un mayor número de competencias y conocimientos</w:t>
      </w:r>
      <w:r w:rsidR="00420576" w:rsidRPr="007861DC">
        <w:rPr>
          <w:rFonts w:ascii="Times New Roman" w:hAnsi="Times New Roman" w:cs="Times New Roman"/>
          <w:i/>
          <w:sz w:val="16"/>
          <w:szCs w:val="24"/>
        </w:rPr>
        <w:t xml:space="preserve">. En </w:t>
      </w:r>
      <w:r w:rsidR="00B22F8C" w:rsidRPr="007861DC">
        <w:rPr>
          <w:rFonts w:ascii="Times New Roman" w:hAnsi="Times New Roman" w:cs="Times New Roman"/>
          <w:i/>
          <w:sz w:val="16"/>
          <w:szCs w:val="24"/>
        </w:rPr>
        <w:t>este</w:t>
      </w:r>
      <w:r w:rsidR="00420576" w:rsidRPr="007861DC">
        <w:rPr>
          <w:rFonts w:ascii="Times New Roman" w:hAnsi="Times New Roman" w:cs="Times New Roman"/>
          <w:i/>
          <w:sz w:val="16"/>
          <w:szCs w:val="24"/>
        </w:rPr>
        <w:t xml:space="preserve"> programa, </w:t>
      </w:r>
      <w:r w:rsidR="001F768B" w:rsidRPr="007861DC">
        <w:rPr>
          <w:rFonts w:ascii="Times New Roman" w:hAnsi="Times New Roman" w:cs="Times New Roman"/>
          <w:i/>
          <w:sz w:val="16"/>
          <w:szCs w:val="24"/>
        </w:rPr>
        <w:t>el estudiante</w:t>
      </w:r>
      <w:r w:rsidR="00723BFF" w:rsidRPr="007861DC">
        <w:rPr>
          <w:rFonts w:ascii="Times New Roman" w:hAnsi="Times New Roman" w:cs="Times New Roman"/>
          <w:i/>
          <w:sz w:val="16"/>
          <w:szCs w:val="24"/>
        </w:rPr>
        <w:t xml:space="preserve"> </w:t>
      </w:r>
      <w:r w:rsidR="001F768B" w:rsidRPr="007861DC">
        <w:rPr>
          <w:rFonts w:ascii="Times New Roman" w:hAnsi="Times New Roman" w:cs="Times New Roman"/>
          <w:i/>
          <w:sz w:val="16"/>
          <w:szCs w:val="24"/>
        </w:rPr>
        <w:t xml:space="preserve">enfrenta </w:t>
      </w:r>
      <w:r w:rsidR="000B2410" w:rsidRPr="007861DC">
        <w:rPr>
          <w:rFonts w:ascii="Times New Roman" w:hAnsi="Times New Roman" w:cs="Times New Roman"/>
          <w:i/>
          <w:sz w:val="16"/>
          <w:szCs w:val="24"/>
        </w:rPr>
        <w:t xml:space="preserve"> problemáticas reales </w:t>
      </w:r>
      <w:r w:rsidR="00420576" w:rsidRPr="007861DC">
        <w:rPr>
          <w:rFonts w:ascii="Times New Roman" w:hAnsi="Times New Roman" w:cs="Times New Roman"/>
          <w:i/>
          <w:sz w:val="16"/>
          <w:szCs w:val="24"/>
        </w:rPr>
        <w:t>de</w:t>
      </w:r>
      <w:r w:rsidR="000B2410" w:rsidRPr="007861DC">
        <w:rPr>
          <w:rFonts w:ascii="Times New Roman" w:hAnsi="Times New Roman" w:cs="Times New Roman"/>
          <w:i/>
          <w:sz w:val="16"/>
          <w:szCs w:val="24"/>
        </w:rPr>
        <w:t xml:space="preserve"> la sociedad</w:t>
      </w:r>
      <w:r w:rsidR="00B22F8C" w:rsidRPr="007861DC">
        <w:rPr>
          <w:rFonts w:ascii="Times New Roman" w:hAnsi="Times New Roman" w:cs="Times New Roman"/>
          <w:i/>
          <w:sz w:val="16"/>
          <w:szCs w:val="24"/>
        </w:rPr>
        <w:t>,</w:t>
      </w:r>
      <w:r w:rsidR="00723BFF" w:rsidRPr="007861DC">
        <w:rPr>
          <w:rFonts w:ascii="Times New Roman" w:hAnsi="Times New Roman" w:cs="Times New Roman"/>
          <w:i/>
          <w:sz w:val="16"/>
          <w:szCs w:val="24"/>
        </w:rPr>
        <w:t xml:space="preserve"> </w:t>
      </w:r>
      <w:r w:rsidR="00B22F8C" w:rsidRPr="007861DC">
        <w:rPr>
          <w:rFonts w:ascii="Times New Roman" w:hAnsi="Times New Roman" w:cs="Times New Roman"/>
          <w:i/>
          <w:sz w:val="16"/>
          <w:szCs w:val="24"/>
        </w:rPr>
        <w:t>buscando solucionar problemas a través de</w:t>
      </w:r>
      <w:r w:rsidR="00723BFF" w:rsidRPr="007861DC">
        <w:rPr>
          <w:rFonts w:ascii="Times New Roman" w:hAnsi="Times New Roman" w:cs="Times New Roman"/>
          <w:i/>
          <w:sz w:val="16"/>
          <w:szCs w:val="24"/>
        </w:rPr>
        <w:t xml:space="preserve"> </w:t>
      </w:r>
      <w:r w:rsidR="00B22F8C" w:rsidRPr="007861DC">
        <w:rPr>
          <w:rFonts w:ascii="Times New Roman" w:hAnsi="Times New Roman" w:cs="Times New Roman"/>
          <w:i/>
          <w:sz w:val="16"/>
          <w:szCs w:val="24"/>
        </w:rPr>
        <w:t>sus conocimientos</w:t>
      </w:r>
      <w:r w:rsidR="001F768B" w:rsidRPr="007861DC">
        <w:rPr>
          <w:rFonts w:ascii="Times New Roman" w:hAnsi="Times New Roman" w:cs="Times New Roman"/>
          <w:i/>
          <w:sz w:val="16"/>
          <w:szCs w:val="24"/>
        </w:rPr>
        <w:t>,</w:t>
      </w:r>
      <w:r w:rsidR="00723BFF" w:rsidRPr="007861DC">
        <w:rPr>
          <w:rFonts w:ascii="Times New Roman" w:hAnsi="Times New Roman" w:cs="Times New Roman"/>
          <w:i/>
          <w:sz w:val="16"/>
          <w:szCs w:val="24"/>
        </w:rPr>
        <w:t xml:space="preserve"> </w:t>
      </w:r>
      <w:r w:rsidR="00B22F8C" w:rsidRPr="007861DC">
        <w:rPr>
          <w:rFonts w:ascii="Times New Roman" w:hAnsi="Times New Roman" w:cs="Times New Roman"/>
          <w:i/>
          <w:sz w:val="16"/>
          <w:szCs w:val="24"/>
        </w:rPr>
        <w:t>desarrollando</w:t>
      </w:r>
      <w:r w:rsidR="00723BFF" w:rsidRPr="007861DC">
        <w:rPr>
          <w:rFonts w:ascii="Times New Roman" w:hAnsi="Times New Roman" w:cs="Times New Roman"/>
          <w:i/>
          <w:sz w:val="16"/>
          <w:szCs w:val="24"/>
        </w:rPr>
        <w:t xml:space="preserve"> </w:t>
      </w:r>
      <w:r w:rsidR="001F768B" w:rsidRPr="007861DC">
        <w:rPr>
          <w:rFonts w:ascii="Times New Roman" w:hAnsi="Times New Roman" w:cs="Times New Roman"/>
          <w:i/>
          <w:sz w:val="16"/>
          <w:szCs w:val="24"/>
        </w:rPr>
        <w:t xml:space="preserve">mejores </w:t>
      </w:r>
      <w:r w:rsidR="00B22F8C" w:rsidRPr="007861DC">
        <w:rPr>
          <w:rFonts w:ascii="Times New Roman" w:hAnsi="Times New Roman" w:cs="Times New Roman"/>
          <w:i/>
          <w:sz w:val="16"/>
          <w:szCs w:val="24"/>
        </w:rPr>
        <w:t>alternativas de solución, de manera</w:t>
      </w:r>
      <w:r w:rsidR="00AE483E" w:rsidRPr="007861DC">
        <w:rPr>
          <w:rFonts w:ascii="Times New Roman" w:hAnsi="Times New Roman" w:cs="Times New Roman"/>
          <w:i/>
          <w:sz w:val="16"/>
          <w:szCs w:val="24"/>
        </w:rPr>
        <w:t xml:space="preserve"> que se vea</w:t>
      </w:r>
      <w:r w:rsidR="00B22F8C" w:rsidRPr="007861DC">
        <w:rPr>
          <w:rFonts w:ascii="Times New Roman" w:hAnsi="Times New Roman" w:cs="Times New Roman"/>
          <w:i/>
          <w:sz w:val="16"/>
          <w:szCs w:val="24"/>
        </w:rPr>
        <w:t>n reflejadas en</w:t>
      </w:r>
      <w:r w:rsidR="00AE483E" w:rsidRPr="007861DC">
        <w:rPr>
          <w:rFonts w:ascii="Times New Roman" w:hAnsi="Times New Roman" w:cs="Times New Roman"/>
          <w:i/>
          <w:sz w:val="16"/>
          <w:szCs w:val="24"/>
        </w:rPr>
        <w:t xml:space="preserve"> bienestar</w:t>
      </w:r>
      <w:r w:rsidR="001F768B" w:rsidRPr="007861DC">
        <w:rPr>
          <w:rFonts w:ascii="Times New Roman" w:hAnsi="Times New Roman" w:cs="Times New Roman"/>
          <w:i/>
          <w:sz w:val="16"/>
          <w:szCs w:val="24"/>
        </w:rPr>
        <w:t xml:space="preserve"> social</w:t>
      </w:r>
      <w:r w:rsidR="00AE483E" w:rsidRPr="007861DC">
        <w:rPr>
          <w:rFonts w:ascii="Times New Roman" w:hAnsi="Times New Roman" w:cs="Times New Roman"/>
          <w:i/>
          <w:sz w:val="16"/>
          <w:szCs w:val="24"/>
        </w:rPr>
        <w:t xml:space="preserve">. </w:t>
      </w:r>
      <w:r w:rsidR="001F768B" w:rsidRPr="007861DC">
        <w:rPr>
          <w:rFonts w:ascii="Times New Roman" w:hAnsi="Times New Roman" w:cs="Times New Roman"/>
          <w:i/>
          <w:sz w:val="16"/>
          <w:szCs w:val="24"/>
        </w:rPr>
        <w:t xml:space="preserve">El objetivo de este trabajo es analizar el aprendizaje del estudiante del servicio </w:t>
      </w:r>
      <w:r w:rsidR="007078A8" w:rsidRPr="007861DC">
        <w:rPr>
          <w:rFonts w:ascii="Times New Roman" w:hAnsi="Times New Roman" w:cs="Times New Roman"/>
          <w:i/>
          <w:sz w:val="16"/>
          <w:szCs w:val="24"/>
        </w:rPr>
        <w:t xml:space="preserve">social </w:t>
      </w:r>
      <w:r w:rsidR="001F768B" w:rsidRPr="007861DC">
        <w:rPr>
          <w:rFonts w:ascii="Times New Roman" w:hAnsi="Times New Roman" w:cs="Times New Roman"/>
          <w:i/>
          <w:sz w:val="16"/>
          <w:szCs w:val="24"/>
        </w:rPr>
        <w:t>comunitario</w:t>
      </w:r>
      <w:r w:rsidR="001A62F3" w:rsidRPr="007861DC">
        <w:t xml:space="preserve"> </w:t>
      </w:r>
      <w:r w:rsidR="001A62F3" w:rsidRPr="007861DC">
        <w:rPr>
          <w:rFonts w:ascii="Times New Roman" w:hAnsi="Times New Roman" w:cs="Times New Roman"/>
          <w:i/>
          <w:sz w:val="16"/>
          <w:szCs w:val="24"/>
        </w:rPr>
        <w:t>UJAT-</w:t>
      </w:r>
      <w:proofErr w:type="spellStart"/>
      <w:r w:rsidR="001A62F3" w:rsidRPr="007861DC">
        <w:rPr>
          <w:rFonts w:ascii="Times New Roman" w:hAnsi="Times New Roman" w:cs="Times New Roman"/>
          <w:i/>
          <w:sz w:val="16"/>
          <w:szCs w:val="24"/>
        </w:rPr>
        <w:t>Peraj</w:t>
      </w:r>
      <w:proofErr w:type="spellEnd"/>
      <w:r w:rsidR="001A62F3" w:rsidRPr="007861DC">
        <w:rPr>
          <w:rFonts w:ascii="Times New Roman" w:hAnsi="Times New Roman" w:cs="Times New Roman"/>
          <w:i/>
          <w:sz w:val="16"/>
          <w:szCs w:val="24"/>
        </w:rPr>
        <w:t xml:space="preserve"> adopta un </w:t>
      </w:r>
      <w:proofErr w:type="spellStart"/>
      <w:r w:rsidR="001A62F3" w:rsidRPr="007861DC">
        <w:rPr>
          <w:rFonts w:ascii="Times New Roman" w:hAnsi="Times New Roman" w:cs="Times New Roman"/>
          <w:i/>
          <w:sz w:val="16"/>
          <w:szCs w:val="24"/>
        </w:rPr>
        <w:t>amig</w:t>
      </w:r>
      <w:proofErr w:type="spellEnd"/>
      <w:r w:rsidR="001A62F3" w:rsidRPr="007861DC">
        <w:rPr>
          <w:rFonts w:ascii="Times New Roman" w:hAnsi="Times New Roman" w:cs="Times New Roman"/>
          <w:i/>
          <w:sz w:val="16"/>
          <w:szCs w:val="24"/>
        </w:rPr>
        <w:t xml:space="preserve">@  </w:t>
      </w:r>
      <w:r w:rsidR="00A86150" w:rsidRPr="007861DC">
        <w:rPr>
          <w:rFonts w:ascii="Times New Roman" w:hAnsi="Times New Roman" w:cs="Times New Roman"/>
          <w:i/>
          <w:sz w:val="16"/>
          <w:szCs w:val="24"/>
        </w:rPr>
        <w:t>y su vínculo con el desarrollo profesional</w:t>
      </w:r>
      <w:r w:rsidR="001F768B" w:rsidRPr="007861DC">
        <w:rPr>
          <w:rFonts w:ascii="Times New Roman" w:hAnsi="Times New Roman" w:cs="Times New Roman"/>
          <w:i/>
          <w:sz w:val="16"/>
          <w:szCs w:val="24"/>
        </w:rPr>
        <w:t>, describiendo su actuación a tr</w:t>
      </w:r>
      <w:r w:rsidR="00852FCD" w:rsidRPr="007861DC">
        <w:rPr>
          <w:rFonts w:ascii="Times New Roman" w:hAnsi="Times New Roman" w:cs="Times New Roman"/>
          <w:i/>
          <w:sz w:val="16"/>
          <w:szCs w:val="24"/>
        </w:rPr>
        <w:t>avés de un enfoque cuantitativo de tipo descriptivo.</w:t>
      </w:r>
    </w:p>
    <w:p w:rsidR="0061450E" w:rsidRPr="007861DC" w:rsidRDefault="00C37F15" w:rsidP="00C37F15">
      <w:pPr>
        <w:jc w:val="center"/>
        <w:rPr>
          <w:rFonts w:ascii="Times New Roman" w:hAnsi="Times New Roman" w:cs="Times New Roman"/>
          <w:i/>
          <w:sz w:val="16"/>
          <w:szCs w:val="16"/>
        </w:rPr>
      </w:pPr>
      <w:r w:rsidRPr="007861DC">
        <w:rPr>
          <w:rFonts w:ascii="Times New Roman" w:hAnsi="Times New Roman" w:cs="Times New Roman"/>
          <w:b/>
          <w:i/>
          <w:sz w:val="16"/>
          <w:szCs w:val="16"/>
        </w:rPr>
        <w:t>Palabras Claves</w:t>
      </w:r>
      <w:r w:rsidR="00BE2637" w:rsidRPr="007861DC">
        <w:rPr>
          <w:rFonts w:ascii="Times New Roman" w:hAnsi="Times New Roman" w:cs="Times New Roman"/>
          <w:b/>
          <w:i/>
          <w:sz w:val="16"/>
          <w:szCs w:val="16"/>
        </w:rPr>
        <w:t>:</w:t>
      </w:r>
      <w:r w:rsidR="00723BFF" w:rsidRPr="007861DC">
        <w:rPr>
          <w:rFonts w:ascii="Times New Roman" w:hAnsi="Times New Roman" w:cs="Times New Roman"/>
          <w:b/>
          <w:i/>
          <w:sz w:val="16"/>
          <w:szCs w:val="16"/>
        </w:rPr>
        <w:t xml:space="preserve"> </w:t>
      </w:r>
      <w:r w:rsidR="001F768B" w:rsidRPr="007861DC">
        <w:rPr>
          <w:rFonts w:ascii="Times New Roman" w:hAnsi="Times New Roman" w:cs="Times New Roman"/>
          <w:i/>
          <w:sz w:val="16"/>
          <w:szCs w:val="16"/>
        </w:rPr>
        <w:t>Servicio S</w:t>
      </w:r>
      <w:r w:rsidR="00152370" w:rsidRPr="007861DC">
        <w:rPr>
          <w:rFonts w:ascii="Times New Roman" w:hAnsi="Times New Roman" w:cs="Times New Roman"/>
          <w:i/>
          <w:sz w:val="16"/>
          <w:szCs w:val="16"/>
        </w:rPr>
        <w:t>ocial Comunitario, aprendizaje, estudiantes y</w:t>
      </w:r>
      <w:r w:rsidR="001F768B" w:rsidRPr="007861DC">
        <w:rPr>
          <w:rFonts w:ascii="Times New Roman" w:hAnsi="Times New Roman" w:cs="Times New Roman"/>
          <w:i/>
          <w:sz w:val="16"/>
          <w:szCs w:val="16"/>
        </w:rPr>
        <w:t xml:space="preserve"> bienestar social.</w:t>
      </w:r>
    </w:p>
    <w:p w:rsidR="005F5AAB" w:rsidRPr="007861DC" w:rsidRDefault="00C37F15" w:rsidP="005F5AAB">
      <w:pPr>
        <w:jc w:val="both"/>
        <w:rPr>
          <w:rFonts w:ascii="Times New Roman" w:hAnsi="Times New Roman" w:cs="Times New Roman"/>
          <w:i/>
          <w:sz w:val="16"/>
          <w:szCs w:val="16"/>
          <w:lang w:val="en-US"/>
        </w:rPr>
      </w:pPr>
      <w:r w:rsidRPr="007861DC">
        <w:rPr>
          <w:rFonts w:ascii="Times New Roman" w:hAnsi="Times New Roman" w:cs="Times New Roman"/>
          <w:b/>
          <w:i/>
          <w:sz w:val="16"/>
          <w:szCs w:val="16"/>
          <w:lang w:val="en-US"/>
        </w:rPr>
        <w:t xml:space="preserve">Abstract: </w:t>
      </w:r>
      <w:r w:rsidR="005F5AAB" w:rsidRPr="007861DC">
        <w:rPr>
          <w:rFonts w:ascii="Times New Roman" w:hAnsi="Times New Roman" w:cs="Times New Roman"/>
          <w:i/>
          <w:sz w:val="16"/>
          <w:szCs w:val="16"/>
          <w:lang w:val="en-US"/>
        </w:rPr>
        <w:t xml:space="preserve">The Community Service lies in the orientation towards professional development through the efforts and skills of students from social service </w:t>
      </w:r>
      <w:r w:rsidR="00FC437F" w:rsidRPr="007861DC">
        <w:rPr>
          <w:rFonts w:ascii="Times New Roman" w:hAnsi="Times New Roman" w:cs="Times New Roman"/>
          <w:i/>
          <w:sz w:val="16"/>
          <w:szCs w:val="16"/>
          <w:lang w:val="en-US"/>
        </w:rPr>
        <w:t>practitioners</w:t>
      </w:r>
      <w:r w:rsidR="005F5AAB" w:rsidRPr="007861DC">
        <w:rPr>
          <w:rFonts w:ascii="Times New Roman" w:hAnsi="Times New Roman" w:cs="Times New Roman"/>
          <w:i/>
          <w:sz w:val="16"/>
          <w:szCs w:val="16"/>
          <w:lang w:val="en-US"/>
        </w:rPr>
        <w:t>, likewise, is a benefit for the population, in which the student will have the opportunity to expand their learning and acquire more skills and knowledge. In this program, the student faces real problems of society, seeking to solve problems through their knowledge, developing better alternative solutions, so that they are reflected in social welfare.</w:t>
      </w:r>
      <w:r w:rsidR="001A62F3" w:rsidRPr="007861DC">
        <w:t xml:space="preserve"> </w:t>
      </w:r>
      <w:r w:rsidR="001A62F3" w:rsidRPr="007861DC">
        <w:rPr>
          <w:rFonts w:ascii="Times New Roman" w:hAnsi="Times New Roman" w:cs="Times New Roman"/>
          <w:i/>
          <w:sz w:val="16"/>
          <w:szCs w:val="16"/>
          <w:lang w:val="en-US"/>
        </w:rPr>
        <w:t>The aim of this paper is to analyze student learning of community service UJAT-</w:t>
      </w:r>
      <w:proofErr w:type="spellStart"/>
      <w:r w:rsidR="001A62F3" w:rsidRPr="007861DC">
        <w:rPr>
          <w:rFonts w:ascii="Times New Roman" w:hAnsi="Times New Roman" w:cs="Times New Roman"/>
          <w:i/>
          <w:sz w:val="16"/>
          <w:szCs w:val="16"/>
          <w:lang w:val="en-US"/>
        </w:rPr>
        <w:t>Peraj</w:t>
      </w:r>
      <w:proofErr w:type="spellEnd"/>
      <w:r w:rsidR="001A62F3" w:rsidRPr="007861DC">
        <w:rPr>
          <w:rFonts w:ascii="Times New Roman" w:hAnsi="Times New Roman" w:cs="Times New Roman"/>
          <w:i/>
          <w:sz w:val="16"/>
          <w:szCs w:val="16"/>
          <w:lang w:val="en-US"/>
        </w:rPr>
        <w:t xml:space="preserve"> </w:t>
      </w:r>
      <w:proofErr w:type="spellStart"/>
      <w:r w:rsidR="001A62F3" w:rsidRPr="007861DC">
        <w:rPr>
          <w:rFonts w:ascii="Times New Roman" w:hAnsi="Times New Roman" w:cs="Times New Roman"/>
          <w:i/>
          <w:sz w:val="16"/>
          <w:szCs w:val="16"/>
          <w:lang w:val="en-US"/>
        </w:rPr>
        <w:t>adopta</w:t>
      </w:r>
      <w:proofErr w:type="spellEnd"/>
      <w:r w:rsidR="001A62F3" w:rsidRPr="007861DC">
        <w:rPr>
          <w:rFonts w:ascii="Times New Roman" w:hAnsi="Times New Roman" w:cs="Times New Roman"/>
          <w:i/>
          <w:sz w:val="16"/>
          <w:szCs w:val="16"/>
          <w:lang w:val="en-US"/>
        </w:rPr>
        <w:t xml:space="preserve"> </w:t>
      </w:r>
      <w:proofErr w:type="gramStart"/>
      <w:r w:rsidR="001A62F3" w:rsidRPr="007861DC">
        <w:rPr>
          <w:rFonts w:ascii="Times New Roman" w:hAnsi="Times New Roman" w:cs="Times New Roman"/>
          <w:i/>
          <w:sz w:val="16"/>
          <w:szCs w:val="16"/>
          <w:lang w:val="en-US"/>
        </w:rPr>
        <w:t>un</w:t>
      </w:r>
      <w:proofErr w:type="gramEnd"/>
      <w:r w:rsidR="001A62F3" w:rsidRPr="007861DC">
        <w:rPr>
          <w:rFonts w:ascii="Times New Roman" w:hAnsi="Times New Roman" w:cs="Times New Roman"/>
          <w:i/>
          <w:sz w:val="16"/>
          <w:szCs w:val="16"/>
          <w:lang w:val="en-US"/>
        </w:rPr>
        <w:t xml:space="preserve"> </w:t>
      </w:r>
      <w:proofErr w:type="spellStart"/>
      <w:r w:rsidR="001A62F3" w:rsidRPr="007861DC">
        <w:rPr>
          <w:rFonts w:ascii="Times New Roman" w:hAnsi="Times New Roman" w:cs="Times New Roman"/>
          <w:i/>
          <w:sz w:val="16"/>
          <w:szCs w:val="16"/>
          <w:lang w:val="en-US"/>
        </w:rPr>
        <w:t>amig</w:t>
      </w:r>
      <w:proofErr w:type="spellEnd"/>
      <w:r w:rsidR="001A62F3" w:rsidRPr="007861DC">
        <w:rPr>
          <w:rFonts w:ascii="Times New Roman" w:hAnsi="Times New Roman" w:cs="Times New Roman"/>
          <w:i/>
          <w:sz w:val="16"/>
          <w:szCs w:val="16"/>
          <w:lang w:val="en-US"/>
        </w:rPr>
        <w:t>@ and their link to professional development, describing their action through quantitative descriptive approach.</w:t>
      </w:r>
      <w:r w:rsidR="005F5AAB" w:rsidRPr="007861DC">
        <w:rPr>
          <w:rFonts w:ascii="Times New Roman" w:hAnsi="Times New Roman" w:cs="Times New Roman"/>
          <w:i/>
          <w:sz w:val="16"/>
          <w:szCs w:val="16"/>
          <w:lang w:val="en-US"/>
        </w:rPr>
        <w:t xml:space="preserve"> </w:t>
      </w:r>
    </w:p>
    <w:p w:rsidR="004834A4" w:rsidRPr="007861DC" w:rsidRDefault="00C37F15" w:rsidP="00C37F15">
      <w:pPr>
        <w:jc w:val="center"/>
        <w:rPr>
          <w:rFonts w:ascii="Times New Roman" w:hAnsi="Times New Roman" w:cs="Times New Roman"/>
          <w:i/>
          <w:sz w:val="16"/>
          <w:szCs w:val="16"/>
          <w:lang w:val="en-US"/>
        </w:rPr>
      </w:pPr>
      <w:r w:rsidRPr="007861DC">
        <w:rPr>
          <w:rFonts w:ascii="Times New Roman" w:hAnsi="Times New Roman" w:cs="Times New Roman"/>
          <w:b/>
          <w:i/>
          <w:sz w:val="16"/>
          <w:szCs w:val="16"/>
          <w:lang w:val="en-US"/>
        </w:rPr>
        <w:t>Keywords</w:t>
      </w:r>
      <w:r w:rsidR="0061450E" w:rsidRPr="007861DC">
        <w:rPr>
          <w:rFonts w:ascii="Times New Roman" w:hAnsi="Times New Roman" w:cs="Times New Roman"/>
          <w:b/>
          <w:i/>
          <w:sz w:val="16"/>
          <w:szCs w:val="16"/>
          <w:lang w:val="en-US"/>
        </w:rPr>
        <w:t>:</w:t>
      </w:r>
      <w:r w:rsidR="00DB1678" w:rsidRPr="007861DC">
        <w:rPr>
          <w:rFonts w:ascii="Times New Roman" w:hAnsi="Times New Roman" w:cs="Times New Roman"/>
          <w:i/>
          <w:sz w:val="16"/>
          <w:szCs w:val="16"/>
          <w:lang w:val="en-US"/>
        </w:rPr>
        <w:t xml:space="preserve"> Community Social </w:t>
      </w:r>
      <w:r w:rsidR="0061450E" w:rsidRPr="007861DC">
        <w:rPr>
          <w:rFonts w:ascii="Times New Roman" w:hAnsi="Times New Roman" w:cs="Times New Roman"/>
          <w:i/>
          <w:sz w:val="16"/>
          <w:szCs w:val="16"/>
          <w:lang w:val="en-US"/>
        </w:rPr>
        <w:t>Service</w:t>
      </w:r>
      <w:r w:rsidR="00DB1678" w:rsidRPr="007861DC">
        <w:rPr>
          <w:rFonts w:ascii="Times New Roman" w:hAnsi="Times New Roman" w:cs="Times New Roman"/>
          <w:i/>
          <w:sz w:val="16"/>
          <w:szCs w:val="16"/>
          <w:lang w:val="en-US"/>
        </w:rPr>
        <w:t>,</w:t>
      </w:r>
      <w:r w:rsidR="0061450E" w:rsidRPr="007861DC">
        <w:rPr>
          <w:rFonts w:ascii="Times New Roman" w:hAnsi="Times New Roman" w:cs="Times New Roman"/>
          <w:i/>
          <w:sz w:val="16"/>
          <w:szCs w:val="16"/>
          <w:lang w:val="en-US"/>
        </w:rPr>
        <w:t xml:space="preserve"> learning</w:t>
      </w:r>
      <w:r w:rsidR="00152370" w:rsidRPr="007861DC">
        <w:rPr>
          <w:rFonts w:ascii="Times New Roman" w:hAnsi="Times New Roman" w:cs="Times New Roman"/>
          <w:i/>
          <w:sz w:val="16"/>
          <w:szCs w:val="16"/>
          <w:lang w:val="en-US"/>
        </w:rPr>
        <w:t>, students</w:t>
      </w:r>
      <w:r w:rsidR="0061450E" w:rsidRPr="007861DC">
        <w:rPr>
          <w:rFonts w:ascii="Times New Roman" w:hAnsi="Times New Roman" w:cs="Times New Roman"/>
          <w:i/>
          <w:sz w:val="16"/>
          <w:szCs w:val="16"/>
          <w:lang w:val="en-US"/>
        </w:rPr>
        <w:t xml:space="preserve"> and social welfare.</w:t>
      </w:r>
    </w:p>
    <w:p w:rsidR="001F768B" w:rsidRPr="007861DC" w:rsidRDefault="00C37F15" w:rsidP="00BD7B29">
      <w:pPr>
        <w:jc w:val="both"/>
        <w:rPr>
          <w:rFonts w:ascii="Times New Roman" w:hAnsi="Times New Roman" w:cs="Times New Roman"/>
          <w:sz w:val="24"/>
          <w:szCs w:val="24"/>
        </w:rPr>
      </w:pPr>
      <w:r w:rsidRPr="007861DC">
        <w:rPr>
          <w:rFonts w:ascii="Times New Roman" w:hAnsi="Times New Roman" w:cs="Times New Roman"/>
          <w:b/>
          <w:sz w:val="24"/>
          <w:szCs w:val="24"/>
        </w:rPr>
        <w:t>Introducción</w:t>
      </w:r>
    </w:p>
    <w:p w:rsidR="00456D0B" w:rsidRPr="007861DC" w:rsidRDefault="00152370" w:rsidP="00C37F15">
      <w:pPr>
        <w:jc w:val="both"/>
        <w:rPr>
          <w:rFonts w:ascii="Times New Roman" w:hAnsi="Times New Roman" w:cs="Times New Roman"/>
          <w:sz w:val="19"/>
          <w:szCs w:val="19"/>
        </w:rPr>
      </w:pPr>
      <w:r w:rsidRPr="007861DC">
        <w:rPr>
          <w:rFonts w:ascii="Times New Roman" w:hAnsi="Times New Roman" w:cs="Times New Roman"/>
          <w:sz w:val="19"/>
          <w:szCs w:val="19"/>
        </w:rPr>
        <w:t>La finalidad de</w:t>
      </w:r>
      <w:r w:rsidR="00DB1678" w:rsidRPr="007861DC">
        <w:rPr>
          <w:rFonts w:ascii="Times New Roman" w:hAnsi="Times New Roman" w:cs="Times New Roman"/>
          <w:sz w:val="19"/>
          <w:szCs w:val="19"/>
        </w:rPr>
        <w:t xml:space="preserve">l Servicio Social Comunitario </w:t>
      </w:r>
      <w:r w:rsidRPr="007861DC">
        <w:rPr>
          <w:rFonts w:ascii="Times New Roman" w:hAnsi="Times New Roman" w:cs="Times New Roman"/>
          <w:sz w:val="19"/>
          <w:szCs w:val="19"/>
        </w:rPr>
        <w:t>es desarrollar</w:t>
      </w:r>
      <w:r w:rsidR="00333A4B" w:rsidRPr="007861DC">
        <w:rPr>
          <w:rFonts w:ascii="Times New Roman" w:hAnsi="Times New Roman" w:cs="Times New Roman"/>
          <w:sz w:val="19"/>
          <w:szCs w:val="19"/>
        </w:rPr>
        <w:t xml:space="preserve"> el vínculo entre la sociedad y el estudiante </w:t>
      </w:r>
      <w:r w:rsidR="007C65C4" w:rsidRPr="007861DC">
        <w:rPr>
          <w:rFonts w:ascii="Times New Roman" w:hAnsi="Times New Roman" w:cs="Times New Roman"/>
          <w:sz w:val="19"/>
          <w:szCs w:val="19"/>
        </w:rPr>
        <w:t>prestador de servicio</w:t>
      </w:r>
      <w:r w:rsidR="00FF1896" w:rsidRPr="007861DC">
        <w:rPr>
          <w:rFonts w:ascii="Times New Roman" w:hAnsi="Times New Roman" w:cs="Times New Roman"/>
          <w:sz w:val="19"/>
          <w:szCs w:val="19"/>
        </w:rPr>
        <w:t xml:space="preserve">, </w:t>
      </w:r>
      <w:r w:rsidR="005F5AAB" w:rsidRPr="007861DC">
        <w:rPr>
          <w:rFonts w:ascii="Times New Roman" w:hAnsi="Times New Roman" w:cs="Times New Roman"/>
          <w:sz w:val="19"/>
          <w:szCs w:val="19"/>
        </w:rPr>
        <w:t>en</w:t>
      </w:r>
      <w:r w:rsidR="0093262A" w:rsidRPr="007861DC">
        <w:rPr>
          <w:rFonts w:ascii="Times New Roman" w:hAnsi="Times New Roman" w:cs="Times New Roman"/>
          <w:sz w:val="19"/>
          <w:szCs w:val="19"/>
        </w:rPr>
        <w:t xml:space="preserve"> la</w:t>
      </w:r>
      <w:r w:rsidR="005F5AAB" w:rsidRPr="007861DC">
        <w:rPr>
          <w:rFonts w:ascii="Times New Roman" w:hAnsi="Times New Roman" w:cs="Times New Roman"/>
          <w:sz w:val="19"/>
          <w:szCs w:val="19"/>
        </w:rPr>
        <w:t xml:space="preserve"> búsqueda de su formación profesional</w:t>
      </w:r>
      <w:r w:rsidRPr="007861DC">
        <w:rPr>
          <w:rFonts w:ascii="Times New Roman" w:hAnsi="Times New Roman" w:cs="Times New Roman"/>
          <w:sz w:val="19"/>
          <w:szCs w:val="19"/>
        </w:rPr>
        <w:t xml:space="preserve">. Este tipo de servicio social  tiene como característica el beneficio </w:t>
      </w:r>
      <w:r w:rsidR="005F5AAB" w:rsidRPr="007861DC">
        <w:rPr>
          <w:rFonts w:ascii="Times New Roman" w:hAnsi="Times New Roman" w:cs="Times New Roman"/>
          <w:sz w:val="19"/>
          <w:szCs w:val="19"/>
        </w:rPr>
        <w:t>comunitario</w:t>
      </w:r>
      <w:r w:rsidR="0093262A" w:rsidRPr="007861DC">
        <w:rPr>
          <w:rFonts w:ascii="Times New Roman" w:hAnsi="Times New Roman" w:cs="Times New Roman"/>
          <w:sz w:val="19"/>
          <w:szCs w:val="19"/>
        </w:rPr>
        <w:t>, enfocado</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a preparar</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a</w:t>
      </w:r>
      <w:r w:rsidR="00FF1896" w:rsidRPr="007861DC">
        <w:rPr>
          <w:rFonts w:ascii="Times New Roman" w:hAnsi="Times New Roman" w:cs="Times New Roman"/>
          <w:sz w:val="19"/>
          <w:szCs w:val="19"/>
        </w:rPr>
        <w:t>l profesionista</w:t>
      </w:r>
      <w:r w:rsidR="00194F0A" w:rsidRPr="007861DC">
        <w:rPr>
          <w:rFonts w:ascii="Times New Roman" w:hAnsi="Times New Roman" w:cs="Times New Roman"/>
          <w:sz w:val="19"/>
          <w:szCs w:val="19"/>
        </w:rPr>
        <w:t xml:space="preserve"> desde una perspectiva grupal y comunitaria</w:t>
      </w:r>
      <w:r w:rsidR="005E30DB" w:rsidRPr="007861DC">
        <w:rPr>
          <w:rFonts w:ascii="Times New Roman" w:hAnsi="Times New Roman" w:cs="Times New Roman"/>
          <w:sz w:val="19"/>
          <w:szCs w:val="19"/>
        </w:rPr>
        <w:t>,</w:t>
      </w:r>
      <w:r w:rsidRPr="007861DC">
        <w:rPr>
          <w:rFonts w:ascii="Times New Roman" w:hAnsi="Times New Roman" w:cs="Times New Roman"/>
          <w:sz w:val="19"/>
          <w:szCs w:val="19"/>
        </w:rPr>
        <w:t xml:space="preserve"> ya que en el</w:t>
      </w:r>
      <w:r w:rsidR="00194F0A" w:rsidRPr="007861DC">
        <w:rPr>
          <w:rFonts w:ascii="Times New Roman" w:hAnsi="Times New Roman" w:cs="Times New Roman"/>
          <w:sz w:val="19"/>
          <w:szCs w:val="19"/>
        </w:rPr>
        <w:t xml:space="preserve"> momento</w:t>
      </w:r>
      <w:r w:rsidRPr="007861DC">
        <w:rPr>
          <w:rFonts w:ascii="Times New Roman" w:hAnsi="Times New Roman" w:cs="Times New Roman"/>
          <w:sz w:val="19"/>
          <w:szCs w:val="19"/>
        </w:rPr>
        <w:t xml:space="preserve"> en </w:t>
      </w:r>
      <w:r w:rsidR="000E5F31" w:rsidRPr="007861DC">
        <w:rPr>
          <w:rFonts w:ascii="Times New Roman" w:hAnsi="Times New Roman" w:cs="Times New Roman"/>
          <w:sz w:val="19"/>
          <w:szCs w:val="19"/>
        </w:rPr>
        <w:t xml:space="preserve">el </w:t>
      </w:r>
      <w:r w:rsidRPr="007861DC">
        <w:rPr>
          <w:rFonts w:ascii="Times New Roman" w:hAnsi="Times New Roman" w:cs="Times New Roman"/>
          <w:sz w:val="19"/>
          <w:szCs w:val="19"/>
        </w:rPr>
        <w:t xml:space="preserve">que </w:t>
      </w:r>
      <w:r w:rsidR="0093262A" w:rsidRPr="007861DC">
        <w:rPr>
          <w:rFonts w:ascii="Times New Roman" w:hAnsi="Times New Roman" w:cs="Times New Roman"/>
          <w:sz w:val="19"/>
          <w:szCs w:val="19"/>
        </w:rPr>
        <w:t>este</w:t>
      </w:r>
      <w:r w:rsidRPr="007861DC">
        <w:rPr>
          <w:rFonts w:ascii="Times New Roman" w:hAnsi="Times New Roman" w:cs="Times New Roman"/>
          <w:sz w:val="19"/>
          <w:szCs w:val="19"/>
        </w:rPr>
        <w:t xml:space="preserve"> participa, </w:t>
      </w:r>
      <w:r w:rsidR="005E30DB" w:rsidRPr="007861DC">
        <w:rPr>
          <w:rFonts w:ascii="Times New Roman" w:hAnsi="Times New Roman" w:cs="Times New Roman"/>
          <w:sz w:val="19"/>
          <w:szCs w:val="19"/>
        </w:rPr>
        <w:t xml:space="preserve">su nivel de aprendizaje </w:t>
      </w:r>
      <w:r w:rsidR="007078A8" w:rsidRPr="007861DC">
        <w:rPr>
          <w:rFonts w:ascii="Times New Roman" w:hAnsi="Times New Roman" w:cs="Times New Roman"/>
          <w:sz w:val="19"/>
          <w:szCs w:val="19"/>
        </w:rPr>
        <w:t>demuestra</w:t>
      </w:r>
      <w:r w:rsidR="00C00002" w:rsidRPr="007861DC">
        <w:rPr>
          <w:rFonts w:ascii="Times New Roman" w:hAnsi="Times New Roman" w:cs="Times New Roman"/>
          <w:sz w:val="19"/>
          <w:szCs w:val="19"/>
        </w:rPr>
        <w:t xml:space="preserve"> un desarrollo cultural universitario</w:t>
      </w:r>
      <w:r w:rsidR="00DF7A33" w:rsidRPr="007861DC">
        <w:rPr>
          <w:rFonts w:ascii="Times New Roman" w:hAnsi="Times New Roman" w:cs="Times New Roman"/>
          <w:sz w:val="19"/>
          <w:szCs w:val="19"/>
        </w:rPr>
        <w:t xml:space="preserve">,  </w:t>
      </w:r>
      <w:r w:rsidR="000E5F31" w:rsidRPr="007861DC">
        <w:rPr>
          <w:rFonts w:ascii="Times New Roman" w:hAnsi="Times New Roman" w:cs="Times New Roman"/>
          <w:sz w:val="19"/>
          <w:szCs w:val="19"/>
        </w:rPr>
        <w:t xml:space="preserve">además de un </w:t>
      </w:r>
      <w:r w:rsidR="00C00002" w:rsidRPr="007861DC">
        <w:rPr>
          <w:rFonts w:ascii="Times New Roman" w:hAnsi="Times New Roman" w:cs="Times New Roman"/>
          <w:sz w:val="19"/>
          <w:szCs w:val="19"/>
        </w:rPr>
        <w:t xml:space="preserve">compromiso con la sociedad </w:t>
      </w:r>
      <w:r w:rsidR="00DF7A33" w:rsidRPr="007861DC">
        <w:rPr>
          <w:rFonts w:ascii="Times New Roman" w:hAnsi="Times New Roman" w:cs="Times New Roman"/>
          <w:sz w:val="19"/>
          <w:szCs w:val="19"/>
        </w:rPr>
        <w:t xml:space="preserve">con </w:t>
      </w:r>
      <w:r w:rsidR="00A92C4B" w:rsidRPr="007861DC">
        <w:rPr>
          <w:rFonts w:ascii="Times New Roman" w:hAnsi="Times New Roman" w:cs="Times New Roman"/>
          <w:sz w:val="19"/>
          <w:szCs w:val="19"/>
        </w:rPr>
        <w:t>características como:</w:t>
      </w:r>
      <w:r w:rsidR="00723BFF" w:rsidRPr="007861DC">
        <w:rPr>
          <w:rFonts w:ascii="Times New Roman" w:hAnsi="Times New Roman" w:cs="Times New Roman"/>
          <w:sz w:val="19"/>
          <w:szCs w:val="19"/>
        </w:rPr>
        <w:t xml:space="preserve"> </w:t>
      </w:r>
      <w:r w:rsidR="007078A8" w:rsidRPr="007861DC">
        <w:rPr>
          <w:rFonts w:ascii="Times New Roman" w:hAnsi="Times New Roman" w:cs="Times New Roman"/>
          <w:sz w:val="19"/>
          <w:szCs w:val="19"/>
        </w:rPr>
        <w:t>asertividad</w:t>
      </w:r>
      <w:r w:rsidR="00DF7A33" w:rsidRPr="007861DC">
        <w:rPr>
          <w:rFonts w:ascii="Times New Roman" w:hAnsi="Times New Roman" w:cs="Times New Roman"/>
          <w:sz w:val="19"/>
          <w:szCs w:val="19"/>
        </w:rPr>
        <w:t xml:space="preserve"> en la toma de decisiones, </w:t>
      </w:r>
      <w:r w:rsidR="007078A8" w:rsidRPr="007861DC">
        <w:rPr>
          <w:rFonts w:ascii="Times New Roman" w:hAnsi="Times New Roman" w:cs="Times New Roman"/>
          <w:sz w:val="19"/>
          <w:szCs w:val="19"/>
        </w:rPr>
        <w:t>poseer</w:t>
      </w:r>
      <w:r w:rsidR="00DF7A33" w:rsidRPr="007861DC">
        <w:rPr>
          <w:rFonts w:ascii="Times New Roman" w:hAnsi="Times New Roman" w:cs="Times New Roman"/>
          <w:sz w:val="19"/>
          <w:szCs w:val="19"/>
        </w:rPr>
        <w:t xml:space="preserve"> </w:t>
      </w:r>
      <w:r w:rsidR="00E5282E" w:rsidRPr="007861DC">
        <w:rPr>
          <w:rFonts w:ascii="Times New Roman" w:hAnsi="Times New Roman" w:cs="Times New Roman"/>
          <w:sz w:val="19"/>
          <w:szCs w:val="19"/>
        </w:rPr>
        <w:t>una visión</w:t>
      </w:r>
      <w:r w:rsidR="00723BFF" w:rsidRPr="007861DC">
        <w:rPr>
          <w:rFonts w:ascii="Times New Roman" w:hAnsi="Times New Roman" w:cs="Times New Roman"/>
          <w:sz w:val="19"/>
          <w:szCs w:val="19"/>
        </w:rPr>
        <w:t xml:space="preserve"> </w:t>
      </w:r>
      <w:r w:rsidR="006D4CA7" w:rsidRPr="007861DC">
        <w:rPr>
          <w:rFonts w:ascii="Times New Roman" w:hAnsi="Times New Roman" w:cs="Times New Roman"/>
          <w:sz w:val="19"/>
          <w:szCs w:val="19"/>
        </w:rPr>
        <w:t>del entorno socioeconómico</w:t>
      </w:r>
      <w:r w:rsidR="00DF7A33" w:rsidRPr="007861DC">
        <w:rPr>
          <w:rFonts w:ascii="Times New Roman" w:hAnsi="Times New Roman" w:cs="Times New Roman"/>
          <w:sz w:val="19"/>
          <w:szCs w:val="19"/>
        </w:rPr>
        <w:t xml:space="preserve">, </w:t>
      </w:r>
      <w:r w:rsidR="000E5F31" w:rsidRPr="007861DC">
        <w:rPr>
          <w:rFonts w:ascii="Times New Roman" w:hAnsi="Times New Roman" w:cs="Times New Roman"/>
          <w:sz w:val="19"/>
          <w:szCs w:val="19"/>
        </w:rPr>
        <w:t>desarrolla</w:t>
      </w:r>
      <w:r w:rsidR="00C92555" w:rsidRPr="007861DC">
        <w:rPr>
          <w:rFonts w:ascii="Times New Roman" w:hAnsi="Times New Roman" w:cs="Times New Roman"/>
          <w:sz w:val="19"/>
          <w:szCs w:val="19"/>
        </w:rPr>
        <w:t>r</w:t>
      </w:r>
      <w:r w:rsidR="000E5F31" w:rsidRPr="007861DC">
        <w:rPr>
          <w:rFonts w:ascii="Times New Roman" w:hAnsi="Times New Roman" w:cs="Times New Roman"/>
          <w:sz w:val="19"/>
          <w:szCs w:val="19"/>
        </w:rPr>
        <w:t xml:space="preserve"> claves éticas y de respeto, capacidad de análisis y evaluación de la realidad social</w:t>
      </w:r>
      <w:r w:rsidR="00723BFF" w:rsidRPr="007861DC">
        <w:rPr>
          <w:rFonts w:ascii="Times New Roman" w:hAnsi="Times New Roman" w:cs="Times New Roman"/>
          <w:sz w:val="19"/>
          <w:szCs w:val="19"/>
        </w:rPr>
        <w:t xml:space="preserve"> </w:t>
      </w:r>
      <w:r w:rsidR="00C92555" w:rsidRPr="007861DC">
        <w:rPr>
          <w:rFonts w:ascii="Times New Roman" w:hAnsi="Times New Roman" w:cs="Times New Roman"/>
          <w:sz w:val="19"/>
          <w:szCs w:val="19"/>
        </w:rPr>
        <w:t>para ser</w:t>
      </w:r>
      <w:r w:rsidR="00DF7A33" w:rsidRPr="007861DC">
        <w:rPr>
          <w:rFonts w:ascii="Times New Roman" w:hAnsi="Times New Roman" w:cs="Times New Roman"/>
          <w:sz w:val="19"/>
          <w:szCs w:val="19"/>
        </w:rPr>
        <w:t xml:space="preserve"> más</w:t>
      </w:r>
      <w:r w:rsidR="000E5F31" w:rsidRPr="007861DC">
        <w:rPr>
          <w:rFonts w:ascii="Times New Roman" w:hAnsi="Times New Roman" w:cs="Times New Roman"/>
          <w:sz w:val="19"/>
          <w:szCs w:val="19"/>
        </w:rPr>
        <w:t xml:space="preserve"> sensibles con </w:t>
      </w:r>
      <w:r w:rsidR="00C92555" w:rsidRPr="007861DC">
        <w:rPr>
          <w:rFonts w:ascii="Times New Roman" w:hAnsi="Times New Roman" w:cs="Times New Roman"/>
          <w:sz w:val="19"/>
          <w:szCs w:val="19"/>
        </w:rPr>
        <w:t xml:space="preserve">el </w:t>
      </w:r>
      <w:r w:rsidR="000E5F31" w:rsidRPr="007861DC">
        <w:rPr>
          <w:rFonts w:ascii="Times New Roman" w:hAnsi="Times New Roman" w:cs="Times New Roman"/>
          <w:sz w:val="19"/>
          <w:szCs w:val="19"/>
        </w:rPr>
        <w:t>entorno</w:t>
      </w:r>
      <w:r w:rsidR="00DF7A33" w:rsidRPr="007861DC">
        <w:rPr>
          <w:rFonts w:ascii="Times New Roman" w:hAnsi="Times New Roman" w:cs="Times New Roman"/>
          <w:sz w:val="19"/>
          <w:szCs w:val="19"/>
        </w:rPr>
        <w:t>.</w:t>
      </w:r>
    </w:p>
    <w:p w:rsidR="00187CC3" w:rsidRPr="00C37F15" w:rsidRDefault="00187CC3" w:rsidP="00A92C4B">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La Universidad Juárez Autónoma de Tabasco </w:t>
      </w:r>
      <w:r w:rsidR="005F5AAB" w:rsidRPr="007861DC">
        <w:rPr>
          <w:rFonts w:ascii="Times New Roman" w:hAnsi="Times New Roman" w:cs="Times New Roman"/>
          <w:sz w:val="19"/>
          <w:szCs w:val="19"/>
        </w:rPr>
        <w:t xml:space="preserve">[UJAT] </w:t>
      </w:r>
      <w:r w:rsidR="00DB1678" w:rsidRPr="007861DC">
        <w:rPr>
          <w:rFonts w:ascii="Times New Roman" w:hAnsi="Times New Roman" w:cs="Times New Roman"/>
          <w:sz w:val="19"/>
          <w:szCs w:val="19"/>
        </w:rPr>
        <w:t>se preocupa de</w:t>
      </w:r>
      <w:r w:rsidRPr="007861DC">
        <w:rPr>
          <w:rFonts w:ascii="Times New Roman" w:hAnsi="Times New Roman" w:cs="Times New Roman"/>
          <w:sz w:val="19"/>
          <w:szCs w:val="19"/>
        </w:rPr>
        <w:t xml:space="preserve"> los sectores</w:t>
      </w:r>
      <w:r w:rsidR="00A92C4B" w:rsidRPr="007861DC">
        <w:rPr>
          <w:rFonts w:ascii="Times New Roman" w:hAnsi="Times New Roman" w:cs="Times New Roman"/>
          <w:sz w:val="19"/>
          <w:szCs w:val="19"/>
        </w:rPr>
        <w:t xml:space="preserve"> más</w:t>
      </w:r>
      <w:r w:rsidRPr="007861DC">
        <w:rPr>
          <w:rFonts w:ascii="Times New Roman" w:hAnsi="Times New Roman" w:cs="Times New Roman"/>
          <w:sz w:val="19"/>
          <w:szCs w:val="19"/>
        </w:rPr>
        <w:t xml:space="preserve"> necesitados de la sociedad taba</w:t>
      </w:r>
      <w:r w:rsidR="00A92C4B" w:rsidRPr="007861DC">
        <w:rPr>
          <w:rFonts w:ascii="Times New Roman" w:hAnsi="Times New Roman" w:cs="Times New Roman"/>
          <w:sz w:val="19"/>
          <w:szCs w:val="19"/>
        </w:rPr>
        <w:t xml:space="preserve">squeña, </w:t>
      </w:r>
      <w:r w:rsidR="00AD0069" w:rsidRPr="007861DC">
        <w:rPr>
          <w:rFonts w:ascii="Times New Roman" w:hAnsi="Times New Roman" w:cs="Times New Roman"/>
          <w:sz w:val="19"/>
          <w:szCs w:val="19"/>
        </w:rPr>
        <w:t>llevando a cabo</w:t>
      </w:r>
      <w:r w:rsidR="00A92C4B" w:rsidRPr="007861DC">
        <w:rPr>
          <w:rFonts w:ascii="Times New Roman" w:hAnsi="Times New Roman" w:cs="Times New Roman"/>
          <w:sz w:val="19"/>
          <w:szCs w:val="19"/>
        </w:rPr>
        <w:t xml:space="preserve"> actividades</w:t>
      </w:r>
      <w:r w:rsidR="003C7FF1" w:rsidRPr="007861DC">
        <w:rPr>
          <w:rFonts w:ascii="Times New Roman" w:hAnsi="Times New Roman" w:cs="Times New Roman"/>
          <w:sz w:val="19"/>
          <w:szCs w:val="19"/>
        </w:rPr>
        <w:t xml:space="preserve"> de extensión, como es el</w:t>
      </w:r>
      <w:r w:rsidRPr="007861DC">
        <w:rPr>
          <w:rFonts w:ascii="Times New Roman" w:hAnsi="Times New Roman" w:cs="Times New Roman"/>
          <w:sz w:val="19"/>
          <w:szCs w:val="19"/>
        </w:rPr>
        <w:t xml:space="preserve"> Servicio</w:t>
      </w:r>
      <w:r w:rsidR="00DB1678" w:rsidRPr="007861DC">
        <w:rPr>
          <w:rFonts w:ascii="Times New Roman" w:hAnsi="Times New Roman" w:cs="Times New Roman"/>
          <w:sz w:val="19"/>
          <w:szCs w:val="19"/>
        </w:rPr>
        <w:t xml:space="preserve"> Social Comunitario </w:t>
      </w:r>
      <w:r w:rsidR="005F5AAB" w:rsidRPr="007861DC">
        <w:rPr>
          <w:rFonts w:ascii="Times New Roman" w:hAnsi="Times New Roman" w:cs="Times New Roman"/>
          <w:sz w:val="19"/>
          <w:szCs w:val="19"/>
        </w:rPr>
        <w:t xml:space="preserve">denominado </w:t>
      </w:r>
      <w:r w:rsidR="00AD0069" w:rsidRPr="007861DC">
        <w:rPr>
          <w:rFonts w:ascii="Times New Roman" w:hAnsi="Times New Roman" w:cs="Times New Roman"/>
          <w:sz w:val="19"/>
          <w:szCs w:val="19"/>
        </w:rPr>
        <w:t>UJAT-</w:t>
      </w:r>
      <w:proofErr w:type="spellStart"/>
      <w:r w:rsidR="00142E41" w:rsidRPr="007861DC">
        <w:rPr>
          <w:rFonts w:ascii="Times New Roman" w:hAnsi="Times New Roman" w:cs="Times New Roman"/>
          <w:sz w:val="19"/>
          <w:szCs w:val="19"/>
        </w:rPr>
        <w:t>Peraj</w:t>
      </w:r>
      <w:proofErr w:type="spellEnd"/>
      <w:r w:rsidR="003C7FF1" w:rsidRPr="007861DC">
        <w:rPr>
          <w:rFonts w:ascii="Times New Roman" w:hAnsi="Times New Roman" w:cs="Times New Roman"/>
          <w:sz w:val="19"/>
          <w:szCs w:val="19"/>
        </w:rPr>
        <w:t xml:space="preserve">, en el cual, </w:t>
      </w:r>
      <w:r w:rsidR="00DB1678" w:rsidRPr="007861DC">
        <w:rPr>
          <w:rFonts w:ascii="Times New Roman" w:hAnsi="Times New Roman" w:cs="Times New Roman"/>
          <w:sz w:val="19"/>
          <w:szCs w:val="19"/>
        </w:rPr>
        <w:t xml:space="preserve">los universitarios </w:t>
      </w:r>
      <w:r w:rsidR="003C7FF1" w:rsidRPr="007861DC">
        <w:rPr>
          <w:rFonts w:ascii="Times New Roman" w:hAnsi="Times New Roman" w:cs="Times New Roman"/>
          <w:sz w:val="19"/>
          <w:szCs w:val="19"/>
        </w:rPr>
        <w:t>adquieren</w:t>
      </w:r>
      <w:r w:rsidR="00A92C4B" w:rsidRPr="007861DC">
        <w:rPr>
          <w:rFonts w:ascii="Times New Roman" w:hAnsi="Times New Roman" w:cs="Times New Roman"/>
          <w:sz w:val="19"/>
          <w:szCs w:val="19"/>
        </w:rPr>
        <w:t xml:space="preserve"> un </w:t>
      </w:r>
      <w:r w:rsidR="00ED3742" w:rsidRPr="007861DC">
        <w:rPr>
          <w:rFonts w:ascii="Times New Roman" w:hAnsi="Times New Roman" w:cs="Times New Roman"/>
          <w:sz w:val="19"/>
          <w:szCs w:val="19"/>
        </w:rPr>
        <w:t>aprendizaje e intervención social, además de</w:t>
      </w:r>
      <w:r w:rsidR="00ED3742" w:rsidRPr="00C37F15">
        <w:rPr>
          <w:rFonts w:ascii="Times New Roman" w:hAnsi="Times New Roman" w:cs="Times New Roman"/>
          <w:sz w:val="19"/>
          <w:szCs w:val="19"/>
        </w:rPr>
        <w:t xml:space="preserve"> la oportunidad de contribuir a mejorar las condiciones de la comunidad mediante la educación, la cultura, la asistencia en el tema de salud, y la asesoría en distintas áreas profesionales.</w:t>
      </w:r>
    </w:p>
    <w:p w:rsidR="001D0F5C" w:rsidRPr="00C37F15" w:rsidRDefault="00ED3742" w:rsidP="005E68A9">
      <w:pPr>
        <w:ind w:firstLine="708"/>
        <w:jc w:val="both"/>
        <w:rPr>
          <w:rFonts w:ascii="Times New Roman" w:hAnsi="Times New Roman" w:cs="Times New Roman"/>
          <w:sz w:val="19"/>
          <w:szCs w:val="19"/>
        </w:rPr>
      </w:pPr>
      <w:r w:rsidRPr="00C37F15">
        <w:rPr>
          <w:rFonts w:ascii="Times New Roman" w:hAnsi="Times New Roman" w:cs="Times New Roman"/>
          <w:sz w:val="19"/>
          <w:szCs w:val="19"/>
        </w:rPr>
        <w:t xml:space="preserve">La presente investigación pretende analizar y determinar las </w:t>
      </w:r>
      <w:r w:rsidR="004C4068" w:rsidRPr="00C37F15">
        <w:rPr>
          <w:rFonts w:ascii="Times New Roman" w:hAnsi="Times New Roman" w:cs="Times New Roman"/>
          <w:sz w:val="19"/>
          <w:szCs w:val="19"/>
        </w:rPr>
        <w:t>formas de aprendizaje</w:t>
      </w:r>
      <w:r w:rsidRPr="00C37F15">
        <w:rPr>
          <w:rFonts w:ascii="Times New Roman" w:hAnsi="Times New Roman" w:cs="Times New Roman"/>
          <w:sz w:val="19"/>
          <w:szCs w:val="19"/>
        </w:rPr>
        <w:t xml:space="preserve"> que el estudiante universitario debe adquirir y desarrollar mediante el Servicio Social Comunitario </w:t>
      </w:r>
      <w:r w:rsidR="003C7FF1" w:rsidRPr="00C37F15">
        <w:rPr>
          <w:rFonts w:ascii="Times New Roman" w:hAnsi="Times New Roman" w:cs="Times New Roman"/>
          <w:sz w:val="19"/>
          <w:szCs w:val="19"/>
        </w:rPr>
        <w:t xml:space="preserve"> UJAT-</w:t>
      </w:r>
      <w:proofErr w:type="spellStart"/>
      <w:r w:rsidR="003C7FF1" w:rsidRPr="00C37F15">
        <w:rPr>
          <w:rFonts w:ascii="Times New Roman" w:hAnsi="Times New Roman" w:cs="Times New Roman"/>
          <w:sz w:val="19"/>
          <w:szCs w:val="19"/>
        </w:rPr>
        <w:t>Peraj</w:t>
      </w:r>
      <w:proofErr w:type="spellEnd"/>
      <w:r w:rsidR="004C4068" w:rsidRPr="00C37F15">
        <w:rPr>
          <w:rFonts w:ascii="Times New Roman" w:hAnsi="Times New Roman" w:cs="Times New Roman"/>
          <w:sz w:val="19"/>
          <w:szCs w:val="19"/>
        </w:rPr>
        <w:t>,</w:t>
      </w:r>
      <w:r w:rsidR="00723BFF" w:rsidRPr="00C37F15">
        <w:rPr>
          <w:rFonts w:ascii="Times New Roman" w:hAnsi="Times New Roman" w:cs="Times New Roman"/>
          <w:sz w:val="19"/>
          <w:szCs w:val="19"/>
        </w:rPr>
        <w:t xml:space="preserve"> </w:t>
      </w:r>
      <w:r w:rsidR="00057361" w:rsidRPr="00C37F15">
        <w:rPr>
          <w:rFonts w:ascii="Times New Roman" w:hAnsi="Times New Roman" w:cs="Times New Roman"/>
          <w:sz w:val="19"/>
          <w:szCs w:val="19"/>
        </w:rPr>
        <w:t>para que al finalizar</w:t>
      </w:r>
      <w:r w:rsidR="003C7FF1" w:rsidRPr="00C37F15">
        <w:rPr>
          <w:rFonts w:ascii="Times New Roman" w:hAnsi="Times New Roman" w:cs="Times New Roman"/>
          <w:sz w:val="19"/>
          <w:szCs w:val="19"/>
        </w:rPr>
        <w:t>lo</w:t>
      </w:r>
      <w:r w:rsidR="00057361" w:rsidRPr="00C37F15">
        <w:rPr>
          <w:rFonts w:ascii="Times New Roman" w:hAnsi="Times New Roman" w:cs="Times New Roman"/>
          <w:sz w:val="19"/>
          <w:szCs w:val="19"/>
        </w:rPr>
        <w:t xml:space="preserve"> obtenga un nivel de competitividad en</w:t>
      </w:r>
      <w:r w:rsidR="0061450E" w:rsidRPr="00C37F15">
        <w:rPr>
          <w:rFonts w:ascii="Times New Roman" w:hAnsi="Times New Roman" w:cs="Times New Roman"/>
          <w:sz w:val="19"/>
          <w:szCs w:val="19"/>
        </w:rPr>
        <w:t xml:space="preserve"> su desarrollo profesional.</w:t>
      </w:r>
    </w:p>
    <w:p w:rsidR="00273CE6" w:rsidRPr="00C37F15" w:rsidRDefault="00C37F15" w:rsidP="00BD7B29">
      <w:pPr>
        <w:jc w:val="both"/>
        <w:rPr>
          <w:rFonts w:ascii="Times New Roman" w:hAnsi="Times New Roman" w:cs="Times New Roman"/>
          <w:b/>
          <w:sz w:val="19"/>
          <w:szCs w:val="19"/>
        </w:rPr>
      </w:pPr>
      <w:r w:rsidRPr="00623909">
        <w:rPr>
          <w:rFonts w:ascii="Times New Roman" w:hAnsi="Times New Roman" w:cs="Times New Roman"/>
          <w:b/>
          <w:sz w:val="24"/>
          <w:szCs w:val="19"/>
        </w:rPr>
        <w:t>Desarrollo del tema</w:t>
      </w:r>
    </w:p>
    <w:p w:rsidR="003C1A6B" w:rsidRPr="007861DC" w:rsidRDefault="00CD55A4" w:rsidP="00C37F15">
      <w:pPr>
        <w:jc w:val="both"/>
        <w:rPr>
          <w:rFonts w:ascii="Times New Roman" w:hAnsi="Times New Roman" w:cs="Times New Roman"/>
          <w:sz w:val="19"/>
          <w:szCs w:val="19"/>
        </w:rPr>
      </w:pPr>
      <w:r w:rsidRPr="00C37F15">
        <w:rPr>
          <w:rFonts w:ascii="Times New Roman" w:hAnsi="Times New Roman" w:cs="Times New Roman"/>
          <w:sz w:val="19"/>
          <w:szCs w:val="19"/>
        </w:rPr>
        <w:t xml:space="preserve">La </w:t>
      </w:r>
      <w:r w:rsidR="003C7FF1" w:rsidRPr="00C37F15">
        <w:rPr>
          <w:rFonts w:ascii="Times New Roman" w:hAnsi="Times New Roman" w:cs="Times New Roman"/>
          <w:sz w:val="19"/>
          <w:szCs w:val="19"/>
        </w:rPr>
        <w:t>S</w:t>
      </w:r>
      <w:r w:rsidRPr="00C37F15">
        <w:rPr>
          <w:rFonts w:ascii="Times New Roman" w:hAnsi="Times New Roman" w:cs="Times New Roman"/>
          <w:sz w:val="19"/>
          <w:szCs w:val="19"/>
        </w:rPr>
        <w:t>ecretaría de Desarrollo Social</w:t>
      </w:r>
      <w:r w:rsidR="00263AEA" w:rsidRPr="00C37F15">
        <w:rPr>
          <w:rFonts w:ascii="Times New Roman" w:hAnsi="Times New Roman" w:cs="Times New Roman"/>
          <w:sz w:val="19"/>
          <w:szCs w:val="19"/>
        </w:rPr>
        <w:t xml:space="preserve"> </w:t>
      </w:r>
      <w:r w:rsidRPr="00C37F15">
        <w:rPr>
          <w:rFonts w:ascii="Times New Roman" w:hAnsi="Times New Roman" w:cs="Times New Roman"/>
          <w:sz w:val="19"/>
          <w:szCs w:val="19"/>
        </w:rPr>
        <w:t xml:space="preserve">[SEDESOL] </w:t>
      </w:r>
      <w:r w:rsidR="003C7FF1" w:rsidRPr="00C37F15">
        <w:rPr>
          <w:rFonts w:ascii="Times New Roman" w:hAnsi="Times New Roman" w:cs="Times New Roman"/>
          <w:sz w:val="19"/>
          <w:szCs w:val="19"/>
        </w:rPr>
        <w:t xml:space="preserve">(2006), </w:t>
      </w:r>
      <w:r w:rsidRPr="00C37F15">
        <w:rPr>
          <w:rFonts w:ascii="Times New Roman" w:hAnsi="Times New Roman" w:cs="Times New Roman"/>
          <w:sz w:val="19"/>
          <w:szCs w:val="19"/>
        </w:rPr>
        <w:t>con el</w:t>
      </w:r>
      <w:r w:rsidR="00723BFF" w:rsidRPr="00C37F15">
        <w:rPr>
          <w:rFonts w:ascii="Times New Roman" w:hAnsi="Times New Roman" w:cs="Times New Roman"/>
          <w:sz w:val="19"/>
          <w:szCs w:val="19"/>
        </w:rPr>
        <w:t xml:space="preserve"> </w:t>
      </w:r>
      <w:r w:rsidR="003C7FF1" w:rsidRPr="00C37F15">
        <w:rPr>
          <w:rFonts w:ascii="Times New Roman" w:hAnsi="Times New Roman" w:cs="Times New Roman"/>
          <w:sz w:val="19"/>
          <w:szCs w:val="19"/>
        </w:rPr>
        <w:t>programa Jóvenes por México</w:t>
      </w:r>
      <w:r w:rsidR="00723BFF" w:rsidRPr="00C37F15">
        <w:rPr>
          <w:rFonts w:ascii="Times New Roman" w:hAnsi="Times New Roman" w:cs="Times New Roman"/>
          <w:sz w:val="19"/>
          <w:szCs w:val="19"/>
        </w:rPr>
        <w:t xml:space="preserve"> </w:t>
      </w:r>
      <w:r w:rsidR="00F36D1D" w:rsidRPr="00C37F15">
        <w:rPr>
          <w:rFonts w:ascii="Times New Roman" w:hAnsi="Times New Roman" w:cs="Times New Roman"/>
          <w:sz w:val="19"/>
          <w:szCs w:val="19"/>
        </w:rPr>
        <w:t>señala que e</w:t>
      </w:r>
      <w:r w:rsidR="00DE39B7" w:rsidRPr="00C37F15">
        <w:rPr>
          <w:rFonts w:ascii="Times New Roman" w:hAnsi="Times New Roman" w:cs="Times New Roman"/>
          <w:sz w:val="19"/>
          <w:szCs w:val="19"/>
        </w:rPr>
        <w:t>l Servicio</w:t>
      </w:r>
      <w:r w:rsidR="003C1A6B" w:rsidRPr="00C37F15">
        <w:rPr>
          <w:rFonts w:ascii="Times New Roman" w:hAnsi="Times New Roman" w:cs="Times New Roman"/>
          <w:sz w:val="19"/>
          <w:szCs w:val="19"/>
        </w:rPr>
        <w:t xml:space="preserve"> Comunitari</w:t>
      </w:r>
      <w:r w:rsidR="005F5AAB" w:rsidRPr="00C37F15">
        <w:rPr>
          <w:rFonts w:ascii="Times New Roman" w:hAnsi="Times New Roman" w:cs="Times New Roman"/>
          <w:sz w:val="19"/>
          <w:szCs w:val="19"/>
        </w:rPr>
        <w:t xml:space="preserve">o </w:t>
      </w:r>
      <w:r w:rsidR="005F5AAB" w:rsidRPr="007861DC">
        <w:rPr>
          <w:rFonts w:ascii="Times New Roman" w:hAnsi="Times New Roman" w:cs="Times New Roman"/>
          <w:sz w:val="19"/>
          <w:szCs w:val="19"/>
        </w:rPr>
        <w:t>surge</w:t>
      </w:r>
      <w:r w:rsidR="00723BFF" w:rsidRPr="007861DC">
        <w:rPr>
          <w:rFonts w:ascii="Times New Roman" w:hAnsi="Times New Roman" w:cs="Times New Roman"/>
          <w:sz w:val="19"/>
          <w:szCs w:val="19"/>
        </w:rPr>
        <w:t xml:space="preserve"> </w:t>
      </w:r>
      <w:r w:rsidR="00E558F3" w:rsidRPr="007861DC">
        <w:rPr>
          <w:rFonts w:ascii="Times New Roman" w:hAnsi="Times New Roman" w:cs="Times New Roman"/>
          <w:sz w:val="19"/>
          <w:szCs w:val="19"/>
        </w:rPr>
        <w:t>como una herencia cultural</w:t>
      </w:r>
      <w:r w:rsidR="00C0690F" w:rsidRPr="007861DC">
        <w:rPr>
          <w:rFonts w:ascii="Times New Roman" w:hAnsi="Times New Roman" w:cs="Times New Roman"/>
          <w:sz w:val="19"/>
          <w:szCs w:val="19"/>
        </w:rPr>
        <w:t xml:space="preserve"> en</w:t>
      </w:r>
      <w:r w:rsidR="00723BFF" w:rsidRPr="007861DC">
        <w:rPr>
          <w:rFonts w:ascii="Times New Roman" w:hAnsi="Times New Roman" w:cs="Times New Roman"/>
          <w:sz w:val="19"/>
          <w:szCs w:val="19"/>
        </w:rPr>
        <w:t xml:space="preserve"> </w:t>
      </w:r>
      <w:r w:rsidR="00C0690F" w:rsidRPr="007861DC">
        <w:rPr>
          <w:rFonts w:ascii="Times New Roman" w:hAnsi="Times New Roman" w:cs="Times New Roman"/>
          <w:sz w:val="19"/>
          <w:szCs w:val="19"/>
        </w:rPr>
        <w:t>los años 70, para aprovechar el potencial de conocimientos y habilidades de los prestadores de servicio social y</w:t>
      </w:r>
      <w:r w:rsidR="00263AEA" w:rsidRPr="007861DC">
        <w:rPr>
          <w:rFonts w:ascii="Times New Roman" w:hAnsi="Times New Roman" w:cs="Times New Roman"/>
          <w:sz w:val="19"/>
          <w:szCs w:val="19"/>
        </w:rPr>
        <w:t xml:space="preserve"> es</w:t>
      </w:r>
      <w:r w:rsidR="00C0690F" w:rsidRPr="007861DC">
        <w:rPr>
          <w:rFonts w:ascii="Times New Roman" w:hAnsi="Times New Roman" w:cs="Times New Roman"/>
          <w:sz w:val="19"/>
          <w:szCs w:val="19"/>
        </w:rPr>
        <w:t xml:space="preserve"> a</w:t>
      </w:r>
      <w:r w:rsidR="00077DB5" w:rsidRPr="007861DC">
        <w:rPr>
          <w:rFonts w:ascii="Times New Roman" w:hAnsi="Times New Roman" w:cs="Times New Roman"/>
          <w:sz w:val="19"/>
          <w:szCs w:val="19"/>
        </w:rPr>
        <w:t xml:space="preserve"> partir de 1992</w:t>
      </w:r>
      <w:r w:rsidR="00263AEA" w:rsidRPr="007861DC">
        <w:rPr>
          <w:rFonts w:ascii="Times New Roman" w:hAnsi="Times New Roman" w:cs="Times New Roman"/>
          <w:sz w:val="19"/>
          <w:szCs w:val="19"/>
        </w:rPr>
        <w:t>, que</w:t>
      </w:r>
      <w:r w:rsidR="00077DB5" w:rsidRPr="007861DC">
        <w:rPr>
          <w:rFonts w:ascii="Times New Roman" w:hAnsi="Times New Roman" w:cs="Times New Roman"/>
          <w:sz w:val="19"/>
          <w:szCs w:val="19"/>
        </w:rPr>
        <w:t xml:space="preserve"> el Programa de Servicio Social Comunitario fue considerado como un instrumento de la política social</w:t>
      </w:r>
      <w:r w:rsidR="00263AEA" w:rsidRPr="007861DC">
        <w:rPr>
          <w:rFonts w:ascii="Times New Roman" w:hAnsi="Times New Roman" w:cs="Times New Roman"/>
          <w:sz w:val="19"/>
          <w:szCs w:val="19"/>
        </w:rPr>
        <w:t xml:space="preserve">, el cual tiene como objetivo </w:t>
      </w:r>
      <w:r w:rsidR="00077DB5" w:rsidRPr="007861DC">
        <w:rPr>
          <w:rFonts w:ascii="Times New Roman" w:hAnsi="Times New Roman" w:cs="Times New Roman"/>
          <w:sz w:val="19"/>
          <w:szCs w:val="19"/>
        </w:rPr>
        <w:t>vincular a los</w:t>
      </w:r>
      <w:r w:rsidR="00263AEA" w:rsidRPr="007861DC">
        <w:rPr>
          <w:rFonts w:ascii="Times New Roman" w:hAnsi="Times New Roman" w:cs="Times New Roman"/>
          <w:sz w:val="19"/>
          <w:szCs w:val="19"/>
        </w:rPr>
        <w:t xml:space="preserve"> prestadores de servicio social</w:t>
      </w:r>
      <w:r w:rsidR="00077DB5" w:rsidRPr="007861DC">
        <w:rPr>
          <w:rFonts w:ascii="Times New Roman" w:hAnsi="Times New Roman" w:cs="Times New Roman"/>
          <w:sz w:val="19"/>
          <w:szCs w:val="19"/>
        </w:rPr>
        <w:t xml:space="preserve"> con los programas públicos, recibi</w:t>
      </w:r>
      <w:r w:rsidR="00C0690F" w:rsidRPr="007861DC">
        <w:rPr>
          <w:rFonts w:ascii="Times New Roman" w:hAnsi="Times New Roman" w:cs="Times New Roman"/>
          <w:sz w:val="19"/>
          <w:szCs w:val="19"/>
        </w:rPr>
        <w:t>endo a cambio</w:t>
      </w:r>
      <w:r w:rsidR="00263AEA" w:rsidRPr="007861DC">
        <w:rPr>
          <w:rFonts w:ascii="Times New Roman" w:hAnsi="Times New Roman" w:cs="Times New Roman"/>
          <w:sz w:val="19"/>
          <w:szCs w:val="19"/>
        </w:rPr>
        <w:t>,</w:t>
      </w:r>
      <w:r w:rsidR="007078A8" w:rsidRPr="007861DC">
        <w:rPr>
          <w:rFonts w:ascii="Times New Roman" w:hAnsi="Times New Roman" w:cs="Times New Roman"/>
          <w:sz w:val="19"/>
          <w:szCs w:val="19"/>
        </w:rPr>
        <w:t xml:space="preserve"> un apoyo prá</w:t>
      </w:r>
      <w:r w:rsidR="00C0690F" w:rsidRPr="007861DC">
        <w:rPr>
          <w:rFonts w:ascii="Times New Roman" w:hAnsi="Times New Roman" w:cs="Times New Roman"/>
          <w:sz w:val="19"/>
          <w:szCs w:val="19"/>
        </w:rPr>
        <w:t>ctico para su formación profesional</w:t>
      </w:r>
      <w:r w:rsidR="003C1A6B" w:rsidRPr="007861DC">
        <w:rPr>
          <w:rFonts w:ascii="Times New Roman" w:hAnsi="Times New Roman" w:cs="Times New Roman"/>
          <w:sz w:val="19"/>
          <w:szCs w:val="19"/>
        </w:rPr>
        <w:t xml:space="preserve">. </w:t>
      </w:r>
    </w:p>
    <w:p w:rsidR="00E23DE7" w:rsidRPr="007861DC" w:rsidRDefault="00E23DE7" w:rsidP="001A62F3">
      <w:pPr>
        <w:ind w:firstLine="708"/>
        <w:jc w:val="both"/>
        <w:rPr>
          <w:rFonts w:ascii="Times New Roman" w:hAnsi="Times New Roman" w:cs="Times New Roman"/>
          <w:sz w:val="19"/>
          <w:szCs w:val="19"/>
        </w:rPr>
      </w:pPr>
      <w:r w:rsidRPr="007861DC">
        <w:rPr>
          <w:rFonts w:ascii="Times New Roman" w:hAnsi="Times New Roman" w:cs="Times New Roman"/>
          <w:sz w:val="19"/>
          <w:szCs w:val="19"/>
        </w:rPr>
        <w:lastRenderedPageBreak/>
        <w:t xml:space="preserve">El Servicio Social Comunitario </w:t>
      </w:r>
      <w:r w:rsidR="004E4C3D" w:rsidRPr="007861DC">
        <w:rPr>
          <w:rFonts w:ascii="Times New Roman" w:hAnsi="Times New Roman" w:cs="Times New Roman"/>
          <w:sz w:val="19"/>
          <w:szCs w:val="19"/>
        </w:rPr>
        <w:t>UJAT-</w:t>
      </w:r>
      <w:proofErr w:type="spellStart"/>
      <w:r w:rsidR="00A93D38" w:rsidRPr="007861DC">
        <w:rPr>
          <w:rFonts w:ascii="Times New Roman" w:hAnsi="Times New Roman" w:cs="Times New Roman"/>
          <w:sz w:val="19"/>
          <w:szCs w:val="19"/>
        </w:rPr>
        <w:t>Peraj</w:t>
      </w:r>
      <w:proofErr w:type="spellEnd"/>
      <w:r w:rsidR="00A93D38" w:rsidRPr="007861DC">
        <w:rPr>
          <w:rFonts w:ascii="Times New Roman" w:hAnsi="Times New Roman" w:cs="Times New Roman"/>
          <w:sz w:val="19"/>
          <w:szCs w:val="19"/>
        </w:rPr>
        <w:t xml:space="preserve">, </w:t>
      </w:r>
      <w:r w:rsidR="004E4C3D" w:rsidRPr="007861DC">
        <w:rPr>
          <w:rFonts w:ascii="Times New Roman" w:hAnsi="Times New Roman" w:cs="Times New Roman"/>
          <w:sz w:val="19"/>
          <w:szCs w:val="19"/>
        </w:rPr>
        <w:t>se estableció</w:t>
      </w:r>
      <w:r w:rsidR="00A93D38" w:rsidRPr="007861DC">
        <w:rPr>
          <w:rFonts w:ascii="Times New Roman" w:hAnsi="Times New Roman" w:cs="Times New Roman"/>
          <w:sz w:val="19"/>
          <w:szCs w:val="19"/>
        </w:rPr>
        <w:t xml:space="preserve"> como</w:t>
      </w:r>
      <w:r w:rsidRPr="007861DC">
        <w:rPr>
          <w:rFonts w:ascii="Times New Roman" w:hAnsi="Times New Roman" w:cs="Times New Roman"/>
          <w:sz w:val="19"/>
          <w:szCs w:val="19"/>
        </w:rPr>
        <w:t xml:space="preserve"> una actividad </w:t>
      </w:r>
      <w:r w:rsidR="00A93D38" w:rsidRPr="007861DC">
        <w:rPr>
          <w:rFonts w:ascii="Times New Roman" w:hAnsi="Times New Roman" w:cs="Times New Roman"/>
          <w:sz w:val="19"/>
          <w:szCs w:val="19"/>
        </w:rPr>
        <w:t>donde</w:t>
      </w:r>
      <w:r w:rsidRPr="007861DC">
        <w:rPr>
          <w:rFonts w:ascii="Times New Roman" w:hAnsi="Times New Roman" w:cs="Times New Roman"/>
          <w:sz w:val="19"/>
          <w:szCs w:val="19"/>
        </w:rPr>
        <w:t xml:space="preserve"> los estudiantes de educación superior </w:t>
      </w:r>
      <w:r w:rsidR="00A93D38" w:rsidRPr="007861DC">
        <w:rPr>
          <w:rFonts w:ascii="Times New Roman" w:hAnsi="Times New Roman" w:cs="Times New Roman"/>
          <w:sz w:val="19"/>
          <w:szCs w:val="19"/>
        </w:rPr>
        <w:t>pueden aplicar</w:t>
      </w:r>
      <w:r w:rsidR="004E4C3D" w:rsidRPr="007861DC">
        <w:rPr>
          <w:rFonts w:ascii="Times New Roman" w:hAnsi="Times New Roman" w:cs="Times New Roman"/>
          <w:sz w:val="19"/>
          <w:szCs w:val="19"/>
        </w:rPr>
        <w:t xml:space="preserve"> sus conocimientos en las comunidades, </w:t>
      </w:r>
      <w:r w:rsidRPr="007861DC">
        <w:rPr>
          <w:rFonts w:ascii="Times New Roman" w:hAnsi="Times New Roman" w:cs="Times New Roman"/>
          <w:sz w:val="19"/>
          <w:szCs w:val="19"/>
        </w:rPr>
        <w:t xml:space="preserve">durante su formación académica, para cooperar con su participación en el desarrollo y mejoramiento de la calidad de vida de las comunidades.   </w:t>
      </w:r>
    </w:p>
    <w:p w:rsidR="00587C3F" w:rsidRPr="007861DC" w:rsidRDefault="00412A50" w:rsidP="00E129E7">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Ruiz </w:t>
      </w:r>
      <w:r w:rsidR="006F1AFA" w:rsidRPr="007861DC">
        <w:rPr>
          <w:rFonts w:ascii="Times New Roman" w:hAnsi="Times New Roman" w:cs="Times New Roman"/>
          <w:sz w:val="19"/>
          <w:szCs w:val="19"/>
        </w:rPr>
        <w:t>(</w:t>
      </w:r>
      <w:r w:rsidR="002A3F00" w:rsidRPr="007861DC">
        <w:rPr>
          <w:rFonts w:ascii="Times New Roman" w:hAnsi="Times New Roman" w:cs="Times New Roman"/>
          <w:sz w:val="19"/>
          <w:szCs w:val="19"/>
        </w:rPr>
        <w:t>2003</w:t>
      </w:r>
      <w:r w:rsidRPr="007861DC">
        <w:rPr>
          <w:rFonts w:ascii="Times New Roman" w:hAnsi="Times New Roman" w:cs="Times New Roman"/>
          <w:sz w:val="19"/>
          <w:szCs w:val="19"/>
        </w:rPr>
        <w:t>)</w:t>
      </w:r>
      <w:r w:rsidR="006F1AFA" w:rsidRPr="007861DC">
        <w:rPr>
          <w:rFonts w:ascii="Times New Roman" w:hAnsi="Times New Roman" w:cs="Times New Roman"/>
          <w:sz w:val="19"/>
          <w:szCs w:val="19"/>
        </w:rPr>
        <w:t xml:space="preserve"> comenta que l</w:t>
      </w:r>
      <w:r w:rsidR="00587C3F" w:rsidRPr="007861DC">
        <w:rPr>
          <w:rFonts w:ascii="Times New Roman" w:hAnsi="Times New Roman" w:cs="Times New Roman"/>
          <w:sz w:val="19"/>
          <w:szCs w:val="19"/>
        </w:rPr>
        <w:t>a formación integral</w:t>
      </w:r>
      <w:r w:rsidR="00723BFF" w:rsidRPr="007861DC">
        <w:rPr>
          <w:rFonts w:ascii="Times New Roman" w:hAnsi="Times New Roman" w:cs="Times New Roman"/>
          <w:sz w:val="19"/>
          <w:szCs w:val="19"/>
        </w:rPr>
        <w:t xml:space="preserve"> </w:t>
      </w:r>
      <w:r w:rsidR="00913F1C" w:rsidRPr="007861DC">
        <w:rPr>
          <w:rFonts w:ascii="Times New Roman" w:hAnsi="Times New Roman" w:cs="Times New Roman"/>
          <w:sz w:val="19"/>
          <w:szCs w:val="19"/>
        </w:rPr>
        <w:t>del prestador de servicio</w:t>
      </w:r>
      <w:r w:rsidR="00587C3F" w:rsidRPr="007861DC">
        <w:rPr>
          <w:rFonts w:ascii="Times New Roman" w:hAnsi="Times New Roman" w:cs="Times New Roman"/>
          <w:sz w:val="19"/>
          <w:szCs w:val="19"/>
        </w:rPr>
        <w:t xml:space="preserve"> implica una perspectiva de aprendizaje intencionada, </w:t>
      </w:r>
      <w:r w:rsidR="002A3F00" w:rsidRPr="007861DC">
        <w:rPr>
          <w:rFonts w:ascii="Times New Roman" w:hAnsi="Times New Roman" w:cs="Times New Roman"/>
          <w:sz w:val="19"/>
          <w:szCs w:val="19"/>
        </w:rPr>
        <w:t xml:space="preserve">fortaleciendo su </w:t>
      </w:r>
      <w:r w:rsidR="00587C3F" w:rsidRPr="007861DC">
        <w:rPr>
          <w:rFonts w:ascii="Times New Roman" w:hAnsi="Times New Roman" w:cs="Times New Roman"/>
          <w:sz w:val="19"/>
          <w:szCs w:val="19"/>
        </w:rPr>
        <w:t>personalidad</w:t>
      </w:r>
      <w:r w:rsidR="002A3F00" w:rsidRPr="007861DC">
        <w:rPr>
          <w:rFonts w:ascii="Times New Roman" w:hAnsi="Times New Roman" w:cs="Times New Roman"/>
          <w:sz w:val="19"/>
          <w:szCs w:val="19"/>
        </w:rPr>
        <w:t xml:space="preserve"> con responsabilidad</w:t>
      </w:r>
      <w:r w:rsidR="00695F18" w:rsidRPr="007861DC">
        <w:rPr>
          <w:rFonts w:ascii="Times New Roman" w:hAnsi="Times New Roman" w:cs="Times New Roman"/>
          <w:sz w:val="19"/>
          <w:szCs w:val="19"/>
        </w:rPr>
        <w:t>, ética, crítica, participación</w:t>
      </w:r>
      <w:r w:rsidR="00587C3F" w:rsidRPr="007861DC">
        <w:rPr>
          <w:rFonts w:ascii="Times New Roman" w:hAnsi="Times New Roman" w:cs="Times New Roman"/>
          <w:sz w:val="19"/>
          <w:szCs w:val="19"/>
        </w:rPr>
        <w:t>, creativ</w:t>
      </w:r>
      <w:r w:rsidR="00695F18" w:rsidRPr="007861DC">
        <w:rPr>
          <w:rFonts w:ascii="Times New Roman" w:hAnsi="Times New Roman" w:cs="Times New Roman"/>
          <w:sz w:val="19"/>
          <w:szCs w:val="19"/>
        </w:rPr>
        <w:t xml:space="preserve">idad, solidaridad y </w:t>
      </w:r>
      <w:r w:rsidR="00587C3F" w:rsidRPr="007861DC">
        <w:rPr>
          <w:rFonts w:ascii="Times New Roman" w:hAnsi="Times New Roman" w:cs="Times New Roman"/>
          <w:sz w:val="19"/>
          <w:szCs w:val="19"/>
        </w:rPr>
        <w:t xml:space="preserve">capacidad de reconocer e interactuar con su entorno para </w:t>
      </w:r>
      <w:r w:rsidR="004E4C3D" w:rsidRPr="007861DC">
        <w:rPr>
          <w:rFonts w:ascii="Times New Roman" w:hAnsi="Times New Roman" w:cs="Times New Roman"/>
          <w:sz w:val="19"/>
          <w:szCs w:val="19"/>
        </w:rPr>
        <w:t>construir</w:t>
      </w:r>
      <w:r w:rsidR="00587C3F" w:rsidRPr="007861DC">
        <w:rPr>
          <w:rFonts w:ascii="Times New Roman" w:hAnsi="Times New Roman" w:cs="Times New Roman"/>
          <w:sz w:val="19"/>
          <w:szCs w:val="19"/>
        </w:rPr>
        <w:t xml:space="preserve"> su identidad cultural. </w:t>
      </w:r>
      <w:r w:rsidR="00695F18" w:rsidRPr="007861DC">
        <w:rPr>
          <w:rFonts w:ascii="Times New Roman" w:hAnsi="Times New Roman" w:cs="Times New Roman"/>
          <w:sz w:val="19"/>
          <w:szCs w:val="19"/>
        </w:rPr>
        <w:t>Así mismo,</w:t>
      </w:r>
      <w:r w:rsidR="002A3F00" w:rsidRPr="007861DC">
        <w:rPr>
          <w:rFonts w:ascii="Times New Roman" w:hAnsi="Times New Roman" w:cs="Times New Roman"/>
          <w:sz w:val="19"/>
          <w:szCs w:val="19"/>
        </w:rPr>
        <w:t xml:space="preserve"> conlleva</w:t>
      </w:r>
      <w:r w:rsidR="00587C3F" w:rsidRPr="007861DC">
        <w:rPr>
          <w:rFonts w:ascii="Times New Roman" w:hAnsi="Times New Roman" w:cs="Times New Roman"/>
          <w:sz w:val="19"/>
          <w:szCs w:val="19"/>
        </w:rPr>
        <w:t xml:space="preserve"> no sólo la adquisición de los </w:t>
      </w:r>
      <w:r w:rsidR="00695F18" w:rsidRPr="007861DC">
        <w:rPr>
          <w:rFonts w:ascii="Times New Roman" w:hAnsi="Times New Roman" w:cs="Times New Roman"/>
          <w:sz w:val="19"/>
          <w:szCs w:val="19"/>
        </w:rPr>
        <w:t xml:space="preserve">conocimientos específicos y </w:t>
      </w:r>
      <w:r w:rsidR="00587C3F" w:rsidRPr="007861DC">
        <w:rPr>
          <w:rFonts w:ascii="Times New Roman" w:hAnsi="Times New Roman" w:cs="Times New Roman"/>
          <w:sz w:val="19"/>
          <w:szCs w:val="19"/>
        </w:rPr>
        <w:t>técnicas adecuadas para el ejercicio profesional, sino</w:t>
      </w:r>
      <w:r w:rsidR="004E4C3D" w:rsidRPr="007861DC">
        <w:rPr>
          <w:rFonts w:ascii="Times New Roman" w:hAnsi="Times New Roman" w:cs="Times New Roman"/>
          <w:sz w:val="19"/>
          <w:szCs w:val="19"/>
        </w:rPr>
        <w:t xml:space="preserve"> que</w:t>
      </w:r>
      <w:r w:rsidR="00587C3F" w:rsidRPr="007861DC">
        <w:rPr>
          <w:rFonts w:ascii="Times New Roman" w:hAnsi="Times New Roman" w:cs="Times New Roman"/>
          <w:sz w:val="19"/>
          <w:szCs w:val="19"/>
        </w:rPr>
        <w:t xml:space="preserve"> también </w:t>
      </w:r>
      <w:r w:rsidR="002A3F00" w:rsidRPr="007861DC">
        <w:rPr>
          <w:rFonts w:ascii="Times New Roman" w:hAnsi="Times New Roman" w:cs="Times New Roman"/>
          <w:sz w:val="19"/>
          <w:szCs w:val="19"/>
        </w:rPr>
        <w:t>necesita</w:t>
      </w:r>
      <w:r w:rsidR="00587C3F" w:rsidRPr="007861DC">
        <w:rPr>
          <w:rFonts w:ascii="Times New Roman" w:hAnsi="Times New Roman" w:cs="Times New Roman"/>
          <w:sz w:val="19"/>
          <w:szCs w:val="19"/>
        </w:rPr>
        <w:t xml:space="preserve"> la internalización de valores, actitudes y formas de comportamiento que contribuyan a que el estudiante participe en la transformación y el mejoramiento de las condiciones sociales.</w:t>
      </w:r>
      <w:r w:rsidR="00723BFF" w:rsidRPr="007861DC">
        <w:rPr>
          <w:rFonts w:ascii="Times New Roman" w:hAnsi="Times New Roman" w:cs="Times New Roman"/>
          <w:sz w:val="19"/>
          <w:szCs w:val="19"/>
        </w:rPr>
        <w:t xml:space="preserve"> </w:t>
      </w:r>
      <w:r w:rsidR="002A3F00" w:rsidRPr="007861DC">
        <w:rPr>
          <w:rFonts w:ascii="Times New Roman" w:hAnsi="Times New Roman" w:cs="Times New Roman"/>
          <w:sz w:val="19"/>
          <w:szCs w:val="19"/>
        </w:rPr>
        <w:t>El autor afirma que el se</w:t>
      </w:r>
      <w:r w:rsidR="00587C3F" w:rsidRPr="007861DC">
        <w:rPr>
          <w:rFonts w:ascii="Times New Roman" w:hAnsi="Times New Roman" w:cs="Times New Roman"/>
          <w:sz w:val="19"/>
          <w:szCs w:val="19"/>
        </w:rPr>
        <w:t xml:space="preserve">rvicio social, </w:t>
      </w:r>
      <w:r w:rsidR="002A3F00" w:rsidRPr="007861DC">
        <w:rPr>
          <w:rFonts w:ascii="Times New Roman" w:hAnsi="Times New Roman" w:cs="Times New Roman"/>
          <w:sz w:val="19"/>
          <w:szCs w:val="19"/>
        </w:rPr>
        <w:t>a través de</w:t>
      </w:r>
      <w:r w:rsidR="00587C3F" w:rsidRPr="007861DC">
        <w:rPr>
          <w:rFonts w:ascii="Times New Roman" w:hAnsi="Times New Roman" w:cs="Times New Roman"/>
          <w:sz w:val="19"/>
          <w:szCs w:val="19"/>
        </w:rPr>
        <w:t xml:space="preserve"> programas de responsabilidad compartida,</w:t>
      </w:r>
      <w:r w:rsidR="00723BFF" w:rsidRPr="007861DC">
        <w:rPr>
          <w:rFonts w:ascii="Times New Roman" w:hAnsi="Times New Roman" w:cs="Times New Roman"/>
          <w:sz w:val="19"/>
          <w:szCs w:val="19"/>
        </w:rPr>
        <w:t xml:space="preserve"> </w:t>
      </w:r>
      <w:r w:rsidR="00B82E97" w:rsidRPr="007861DC">
        <w:rPr>
          <w:rFonts w:ascii="Times New Roman" w:hAnsi="Times New Roman" w:cs="Times New Roman"/>
          <w:sz w:val="19"/>
          <w:szCs w:val="19"/>
        </w:rPr>
        <w:t>entre las</w:t>
      </w:r>
      <w:r w:rsidR="00587C3F" w:rsidRPr="007861DC">
        <w:rPr>
          <w:rFonts w:ascii="Times New Roman" w:hAnsi="Times New Roman" w:cs="Times New Roman"/>
          <w:sz w:val="19"/>
          <w:szCs w:val="19"/>
        </w:rPr>
        <w:t xml:space="preserve"> instituciones educativas y los estudiantes con el sector gubernamental</w:t>
      </w:r>
      <w:r w:rsidR="00B82E97" w:rsidRPr="007861DC">
        <w:rPr>
          <w:rFonts w:ascii="Times New Roman" w:hAnsi="Times New Roman" w:cs="Times New Roman"/>
          <w:sz w:val="19"/>
          <w:szCs w:val="19"/>
        </w:rPr>
        <w:t xml:space="preserve">, </w:t>
      </w:r>
      <w:r w:rsidR="008F6CA9" w:rsidRPr="007861DC">
        <w:rPr>
          <w:rFonts w:ascii="Times New Roman" w:hAnsi="Times New Roman" w:cs="Times New Roman"/>
          <w:sz w:val="19"/>
          <w:szCs w:val="19"/>
        </w:rPr>
        <w:t>se enfoca</w:t>
      </w:r>
      <w:r w:rsidR="00DE1E08" w:rsidRPr="007861DC">
        <w:rPr>
          <w:rFonts w:ascii="Times New Roman" w:hAnsi="Times New Roman" w:cs="Times New Roman"/>
          <w:sz w:val="19"/>
          <w:szCs w:val="19"/>
        </w:rPr>
        <w:t xml:space="preserve"> al</w:t>
      </w:r>
      <w:r w:rsidR="00A93D38" w:rsidRPr="007861DC">
        <w:rPr>
          <w:rFonts w:ascii="Times New Roman" w:hAnsi="Times New Roman" w:cs="Times New Roman"/>
          <w:sz w:val="19"/>
          <w:szCs w:val="19"/>
        </w:rPr>
        <w:t xml:space="preserve"> interés y cumplimiento de objetivos</w:t>
      </w:r>
      <w:r w:rsidR="00587C3F" w:rsidRPr="007861DC">
        <w:rPr>
          <w:rFonts w:ascii="Times New Roman" w:hAnsi="Times New Roman" w:cs="Times New Roman"/>
          <w:sz w:val="19"/>
          <w:szCs w:val="19"/>
        </w:rPr>
        <w:t xml:space="preserve"> producti</w:t>
      </w:r>
      <w:r w:rsidR="002A3F00" w:rsidRPr="007861DC">
        <w:rPr>
          <w:rFonts w:ascii="Times New Roman" w:hAnsi="Times New Roman" w:cs="Times New Roman"/>
          <w:sz w:val="19"/>
          <w:szCs w:val="19"/>
        </w:rPr>
        <w:t>vo</w:t>
      </w:r>
      <w:r w:rsidR="00A93D38" w:rsidRPr="007861DC">
        <w:rPr>
          <w:rFonts w:ascii="Times New Roman" w:hAnsi="Times New Roman" w:cs="Times New Roman"/>
          <w:sz w:val="19"/>
          <w:szCs w:val="19"/>
        </w:rPr>
        <w:t>s</w:t>
      </w:r>
      <w:r w:rsidR="002A3F00" w:rsidRPr="007861DC">
        <w:rPr>
          <w:rFonts w:ascii="Times New Roman" w:hAnsi="Times New Roman" w:cs="Times New Roman"/>
          <w:sz w:val="19"/>
          <w:szCs w:val="19"/>
        </w:rPr>
        <w:t xml:space="preserve"> y social</w:t>
      </w:r>
      <w:r w:rsidR="00A93D38" w:rsidRPr="007861DC">
        <w:rPr>
          <w:rFonts w:ascii="Times New Roman" w:hAnsi="Times New Roman" w:cs="Times New Roman"/>
          <w:sz w:val="19"/>
          <w:szCs w:val="19"/>
        </w:rPr>
        <w:t>es</w:t>
      </w:r>
      <w:r w:rsidR="002A3F00" w:rsidRPr="007861DC">
        <w:rPr>
          <w:rFonts w:ascii="Times New Roman" w:hAnsi="Times New Roman" w:cs="Times New Roman"/>
          <w:sz w:val="19"/>
          <w:szCs w:val="19"/>
        </w:rPr>
        <w:t xml:space="preserve">, </w:t>
      </w:r>
      <w:r w:rsidR="00B82E97" w:rsidRPr="007861DC">
        <w:rPr>
          <w:rFonts w:ascii="Times New Roman" w:hAnsi="Times New Roman" w:cs="Times New Roman"/>
          <w:sz w:val="19"/>
          <w:szCs w:val="19"/>
        </w:rPr>
        <w:t xml:space="preserve">para la promoción de </w:t>
      </w:r>
      <w:r w:rsidR="002A3F00" w:rsidRPr="007861DC">
        <w:rPr>
          <w:rFonts w:ascii="Times New Roman" w:hAnsi="Times New Roman" w:cs="Times New Roman"/>
          <w:sz w:val="19"/>
          <w:szCs w:val="19"/>
        </w:rPr>
        <w:t>un</w:t>
      </w:r>
      <w:r w:rsidR="00587C3F" w:rsidRPr="007861DC">
        <w:rPr>
          <w:rFonts w:ascii="Times New Roman" w:hAnsi="Times New Roman" w:cs="Times New Roman"/>
          <w:sz w:val="19"/>
          <w:szCs w:val="19"/>
        </w:rPr>
        <w:t xml:space="preserve"> acercamiento real </w:t>
      </w:r>
      <w:r w:rsidR="00A93D38" w:rsidRPr="007861DC">
        <w:rPr>
          <w:rFonts w:ascii="Times New Roman" w:hAnsi="Times New Roman" w:cs="Times New Roman"/>
          <w:sz w:val="19"/>
          <w:szCs w:val="19"/>
        </w:rPr>
        <w:t xml:space="preserve">entre </w:t>
      </w:r>
      <w:r w:rsidR="00587C3F" w:rsidRPr="007861DC">
        <w:rPr>
          <w:rFonts w:ascii="Times New Roman" w:hAnsi="Times New Roman" w:cs="Times New Roman"/>
          <w:sz w:val="19"/>
          <w:szCs w:val="19"/>
        </w:rPr>
        <w:t>instituciones de edu</w:t>
      </w:r>
      <w:r w:rsidR="002A3F00" w:rsidRPr="007861DC">
        <w:rPr>
          <w:rFonts w:ascii="Times New Roman" w:hAnsi="Times New Roman" w:cs="Times New Roman"/>
          <w:sz w:val="19"/>
          <w:szCs w:val="19"/>
        </w:rPr>
        <w:t>cación superior con la sociedad, consolidando</w:t>
      </w:r>
      <w:r w:rsidR="00587C3F" w:rsidRPr="007861DC">
        <w:rPr>
          <w:rFonts w:ascii="Times New Roman" w:hAnsi="Times New Roman" w:cs="Times New Roman"/>
          <w:sz w:val="19"/>
          <w:szCs w:val="19"/>
        </w:rPr>
        <w:t xml:space="preserve"> la formación académica del estudiante, </w:t>
      </w:r>
      <w:r w:rsidR="002A3F00" w:rsidRPr="007861DC">
        <w:rPr>
          <w:rFonts w:ascii="Times New Roman" w:hAnsi="Times New Roman" w:cs="Times New Roman"/>
          <w:sz w:val="19"/>
          <w:szCs w:val="19"/>
        </w:rPr>
        <w:t xml:space="preserve"> el desarrollo de sus</w:t>
      </w:r>
      <w:r w:rsidR="00B82E97" w:rsidRPr="007861DC">
        <w:rPr>
          <w:rFonts w:ascii="Times New Roman" w:hAnsi="Times New Roman" w:cs="Times New Roman"/>
          <w:sz w:val="19"/>
          <w:szCs w:val="19"/>
        </w:rPr>
        <w:t xml:space="preserve"> valores, así como </w:t>
      </w:r>
      <w:r w:rsidR="002A3F00" w:rsidRPr="007861DC">
        <w:rPr>
          <w:rFonts w:ascii="Times New Roman" w:hAnsi="Times New Roman" w:cs="Times New Roman"/>
          <w:sz w:val="19"/>
          <w:szCs w:val="19"/>
        </w:rPr>
        <w:t xml:space="preserve"> su </w:t>
      </w:r>
      <w:r w:rsidR="00587C3F" w:rsidRPr="007861DC">
        <w:rPr>
          <w:rFonts w:ascii="Times New Roman" w:hAnsi="Times New Roman" w:cs="Times New Roman"/>
          <w:sz w:val="19"/>
          <w:szCs w:val="19"/>
        </w:rPr>
        <w:t xml:space="preserve">inserción al mercado </w:t>
      </w:r>
      <w:r w:rsidR="002A3F00" w:rsidRPr="007861DC">
        <w:rPr>
          <w:rFonts w:ascii="Times New Roman" w:hAnsi="Times New Roman" w:cs="Times New Roman"/>
          <w:sz w:val="19"/>
          <w:szCs w:val="19"/>
        </w:rPr>
        <w:t>laboral</w:t>
      </w:r>
      <w:r w:rsidR="00587C3F" w:rsidRPr="007861DC">
        <w:rPr>
          <w:rFonts w:ascii="Times New Roman" w:hAnsi="Times New Roman" w:cs="Times New Roman"/>
          <w:sz w:val="19"/>
          <w:szCs w:val="19"/>
        </w:rPr>
        <w:t xml:space="preserve">. </w:t>
      </w:r>
    </w:p>
    <w:p w:rsidR="002532F7" w:rsidRPr="007861DC" w:rsidRDefault="003C7FF1" w:rsidP="002532F7">
      <w:pPr>
        <w:ind w:firstLine="708"/>
        <w:jc w:val="both"/>
        <w:rPr>
          <w:rFonts w:ascii="Times New Roman" w:hAnsi="Times New Roman" w:cs="Times New Roman"/>
          <w:sz w:val="19"/>
          <w:szCs w:val="19"/>
        </w:rPr>
      </w:pPr>
      <w:r w:rsidRPr="007861DC">
        <w:rPr>
          <w:rFonts w:ascii="Times New Roman" w:hAnsi="Times New Roman" w:cs="Times New Roman"/>
          <w:sz w:val="19"/>
          <w:szCs w:val="19"/>
        </w:rPr>
        <w:t>L</w:t>
      </w:r>
      <w:r w:rsidR="002532F7" w:rsidRPr="007861DC">
        <w:rPr>
          <w:rFonts w:ascii="Times New Roman" w:hAnsi="Times New Roman" w:cs="Times New Roman"/>
          <w:sz w:val="19"/>
          <w:szCs w:val="19"/>
        </w:rPr>
        <w:t xml:space="preserve">os servicios </w:t>
      </w:r>
      <w:r w:rsidR="00575068" w:rsidRPr="007861DC">
        <w:rPr>
          <w:rFonts w:ascii="Times New Roman" w:hAnsi="Times New Roman" w:cs="Times New Roman"/>
          <w:sz w:val="19"/>
          <w:szCs w:val="19"/>
        </w:rPr>
        <w:t>proporcionados</w:t>
      </w:r>
      <w:r w:rsidR="002532F7" w:rsidRPr="007861DC">
        <w:rPr>
          <w:rFonts w:ascii="Times New Roman" w:hAnsi="Times New Roman" w:cs="Times New Roman"/>
          <w:sz w:val="19"/>
          <w:szCs w:val="19"/>
        </w:rPr>
        <w:t xml:space="preserve"> por las instituciones educativas a través</w:t>
      </w:r>
      <w:r w:rsidR="00DE1E08" w:rsidRPr="007861DC">
        <w:rPr>
          <w:rFonts w:ascii="Times New Roman" w:hAnsi="Times New Roman" w:cs="Times New Roman"/>
          <w:sz w:val="19"/>
          <w:szCs w:val="19"/>
        </w:rPr>
        <w:t xml:space="preserve"> del servicio social comunitario</w:t>
      </w:r>
      <w:r w:rsidR="00575068" w:rsidRPr="007861DC">
        <w:rPr>
          <w:rFonts w:ascii="Times New Roman" w:hAnsi="Times New Roman" w:cs="Times New Roman"/>
          <w:sz w:val="19"/>
          <w:szCs w:val="19"/>
        </w:rPr>
        <w:t>, inciden</w:t>
      </w:r>
      <w:r w:rsidR="00DE1E08" w:rsidRPr="007861DC">
        <w:rPr>
          <w:rFonts w:ascii="Times New Roman" w:hAnsi="Times New Roman" w:cs="Times New Roman"/>
          <w:sz w:val="19"/>
          <w:szCs w:val="19"/>
        </w:rPr>
        <w:t xml:space="preserve"> </w:t>
      </w:r>
      <w:r w:rsidR="00575068" w:rsidRPr="007861DC">
        <w:rPr>
          <w:rFonts w:ascii="Times New Roman" w:hAnsi="Times New Roman" w:cs="Times New Roman"/>
          <w:sz w:val="19"/>
          <w:szCs w:val="19"/>
        </w:rPr>
        <w:t>en la formación integral de</w:t>
      </w:r>
      <w:r w:rsidR="00B82E97" w:rsidRPr="007861DC">
        <w:rPr>
          <w:rFonts w:ascii="Times New Roman" w:hAnsi="Times New Roman" w:cs="Times New Roman"/>
          <w:sz w:val="19"/>
          <w:szCs w:val="19"/>
        </w:rPr>
        <w:t xml:space="preserve"> </w:t>
      </w:r>
      <w:r w:rsidR="00575068" w:rsidRPr="007861DC">
        <w:rPr>
          <w:rFonts w:ascii="Times New Roman" w:hAnsi="Times New Roman" w:cs="Times New Roman"/>
          <w:sz w:val="19"/>
          <w:szCs w:val="19"/>
        </w:rPr>
        <w:t>los estudiantes</w:t>
      </w:r>
      <w:r w:rsidR="00DE1E08" w:rsidRPr="007861DC">
        <w:rPr>
          <w:rFonts w:ascii="Times New Roman" w:hAnsi="Times New Roman" w:cs="Times New Roman"/>
          <w:sz w:val="19"/>
          <w:szCs w:val="19"/>
        </w:rPr>
        <w:t>, orientándolos</w:t>
      </w:r>
      <w:r w:rsidR="00B82E97" w:rsidRPr="007861DC">
        <w:rPr>
          <w:rFonts w:ascii="Times New Roman" w:hAnsi="Times New Roman" w:cs="Times New Roman"/>
          <w:sz w:val="19"/>
          <w:szCs w:val="19"/>
        </w:rPr>
        <w:t xml:space="preserve"> hacia los </w:t>
      </w:r>
      <w:r w:rsidR="002532F7" w:rsidRPr="007861DC">
        <w:rPr>
          <w:rFonts w:ascii="Times New Roman" w:hAnsi="Times New Roman" w:cs="Times New Roman"/>
          <w:sz w:val="19"/>
          <w:szCs w:val="19"/>
        </w:rPr>
        <w:t>diferentes grupos de población</w:t>
      </w:r>
      <w:r w:rsidR="00575068" w:rsidRPr="007861DC">
        <w:rPr>
          <w:rFonts w:ascii="Times New Roman" w:hAnsi="Times New Roman" w:cs="Times New Roman"/>
          <w:sz w:val="19"/>
          <w:szCs w:val="19"/>
        </w:rPr>
        <w:t xml:space="preserve">, </w:t>
      </w:r>
      <w:r w:rsidR="002532F7" w:rsidRPr="007861DC">
        <w:rPr>
          <w:rFonts w:ascii="Times New Roman" w:hAnsi="Times New Roman" w:cs="Times New Roman"/>
          <w:sz w:val="19"/>
          <w:szCs w:val="19"/>
        </w:rPr>
        <w:t xml:space="preserve"> </w:t>
      </w:r>
      <w:r w:rsidR="00DE1E08" w:rsidRPr="007861DC">
        <w:rPr>
          <w:rFonts w:ascii="Times New Roman" w:hAnsi="Times New Roman" w:cs="Times New Roman"/>
          <w:sz w:val="19"/>
          <w:szCs w:val="19"/>
        </w:rPr>
        <w:t>donde se</w:t>
      </w:r>
      <w:r w:rsidR="002532F7" w:rsidRPr="007861DC">
        <w:rPr>
          <w:rFonts w:ascii="Times New Roman" w:hAnsi="Times New Roman" w:cs="Times New Roman"/>
          <w:sz w:val="19"/>
          <w:szCs w:val="19"/>
        </w:rPr>
        <w:t xml:space="preserve"> incluyen programas</w:t>
      </w:r>
      <w:r w:rsidR="002A3F00" w:rsidRPr="007861DC">
        <w:rPr>
          <w:rFonts w:ascii="Times New Roman" w:hAnsi="Times New Roman" w:cs="Times New Roman"/>
          <w:sz w:val="19"/>
          <w:szCs w:val="19"/>
        </w:rPr>
        <w:t xml:space="preserve"> y </w:t>
      </w:r>
      <w:r w:rsidR="002532F7" w:rsidRPr="007861DC">
        <w:rPr>
          <w:rFonts w:ascii="Times New Roman" w:hAnsi="Times New Roman" w:cs="Times New Roman"/>
          <w:sz w:val="19"/>
          <w:szCs w:val="19"/>
        </w:rPr>
        <w:t xml:space="preserve">servicios </w:t>
      </w:r>
      <w:r w:rsidR="00575068" w:rsidRPr="007861DC">
        <w:rPr>
          <w:rFonts w:ascii="Times New Roman" w:hAnsi="Times New Roman" w:cs="Times New Roman"/>
          <w:sz w:val="19"/>
          <w:szCs w:val="19"/>
        </w:rPr>
        <w:t>dirigidos hacia diversos</w:t>
      </w:r>
      <w:r w:rsidR="002532F7" w:rsidRPr="007861DC">
        <w:rPr>
          <w:rFonts w:ascii="Times New Roman" w:hAnsi="Times New Roman" w:cs="Times New Roman"/>
          <w:sz w:val="19"/>
          <w:szCs w:val="19"/>
        </w:rPr>
        <w:t xml:space="preserve"> sectores social</w:t>
      </w:r>
      <w:r w:rsidR="00DE1E08" w:rsidRPr="007861DC">
        <w:rPr>
          <w:rFonts w:ascii="Times New Roman" w:hAnsi="Times New Roman" w:cs="Times New Roman"/>
          <w:sz w:val="19"/>
          <w:szCs w:val="19"/>
        </w:rPr>
        <w:t>es</w:t>
      </w:r>
      <w:r w:rsidR="00EB4135" w:rsidRPr="007861DC">
        <w:rPr>
          <w:rFonts w:ascii="Times New Roman" w:hAnsi="Times New Roman" w:cs="Times New Roman"/>
          <w:sz w:val="19"/>
          <w:szCs w:val="19"/>
        </w:rPr>
        <w:t xml:space="preserve"> económicamente</w:t>
      </w:r>
      <w:r w:rsidR="002532F7" w:rsidRPr="007861DC">
        <w:rPr>
          <w:rFonts w:ascii="Times New Roman" w:hAnsi="Times New Roman" w:cs="Times New Roman"/>
          <w:sz w:val="19"/>
          <w:szCs w:val="19"/>
        </w:rPr>
        <w:t xml:space="preserve"> desprotegidos, los cuales se realizan de manera sistemáti</w:t>
      </w:r>
      <w:r w:rsidRPr="007861DC">
        <w:rPr>
          <w:rFonts w:ascii="Times New Roman" w:hAnsi="Times New Roman" w:cs="Times New Roman"/>
          <w:sz w:val="19"/>
          <w:szCs w:val="19"/>
        </w:rPr>
        <w:t>ca por parte de la</w:t>
      </w:r>
      <w:r w:rsidR="00DE1E08" w:rsidRPr="007861DC">
        <w:rPr>
          <w:rFonts w:ascii="Times New Roman" w:hAnsi="Times New Roman" w:cs="Times New Roman"/>
          <w:sz w:val="19"/>
          <w:szCs w:val="19"/>
        </w:rPr>
        <w:t>s</w:t>
      </w:r>
      <w:r w:rsidR="00723BFF" w:rsidRPr="007861DC">
        <w:rPr>
          <w:rFonts w:ascii="Times New Roman" w:hAnsi="Times New Roman" w:cs="Times New Roman"/>
          <w:sz w:val="19"/>
          <w:szCs w:val="19"/>
        </w:rPr>
        <w:t xml:space="preserve"> </w:t>
      </w:r>
      <w:r w:rsidR="00DE1E08" w:rsidRPr="007861DC">
        <w:rPr>
          <w:rFonts w:ascii="Times New Roman" w:hAnsi="Times New Roman" w:cs="Times New Roman"/>
          <w:sz w:val="19"/>
          <w:szCs w:val="19"/>
        </w:rPr>
        <w:t>instituciones.</w:t>
      </w:r>
    </w:p>
    <w:p w:rsidR="00C50A71" w:rsidRPr="007861DC" w:rsidRDefault="00E129E7" w:rsidP="00E129E7">
      <w:pPr>
        <w:ind w:firstLine="708"/>
        <w:jc w:val="both"/>
        <w:rPr>
          <w:rFonts w:ascii="Times New Roman" w:hAnsi="Times New Roman" w:cs="Times New Roman"/>
          <w:sz w:val="19"/>
          <w:szCs w:val="19"/>
        </w:rPr>
      </w:pPr>
      <w:r w:rsidRPr="007861DC">
        <w:rPr>
          <w:rFonts w:ascii="Times New Roman" w:hAnsi="Times New Roman" w:cs="Times New Roman"/>
          <w:sz w:val="19"/>
          <w:szCs w:val="19"/>
        </w:rPr>
        <w:t>De acuerdo con la Asociación Nacional de Universidades e Instituciones de Educación Superior [</w:t>
      </w:r>
      <w:r w:rsidR="00011EDB" w:rsidRPr="007861DC">
        <w:rPr>
          <w:rFonts w:ascii="Times New Roman" w:hAnsi="Times New Roman" w:cs="Times New Roman"/>
          <w:sz w:val="19"/>
          <w:szCs w:val="19"/>
        </w:rPr>
        <w:t>ANUIES</w:t>
      </w:r>
      <w:r w:rsidRPr="007861DC">
        <w:rPr>
          <w:rFonts w:ascii="Times New Roman" w:hAnsi="Times New Roman" w:cs="Times New Roman"/>
          <w:sz w:val="19"/>
          <w:szCs w:val="19"/>
        </w:rPr>
        <w:t>]</w:t>
      </w:r>
      <w:r w:rsidR="00011EDB" w:rsidRPr="007861DC">
        <w:rPr>
          <w:rFonts w:ascii="Times New Roman" w:hAnsi="Times New Roman" w:cs="Times New Roman"/>
          <w:sz w:val="19"/>
          <w:szCs w:val="19"/>
        </w:rPr>
        <w:t xml:space="preserve"> (1999)</w:t>
      </w:r>
      <w:r w:rsidRPr="007861DC">
        <w:rPr>
          <w:rFonts w:ascii="Times New Roman" w:hAnsi="Times New Roman" w:cs="Times New Roman"/>
          <w:sz w:val="19"/>
          <w:szCs w:val="19"/>
        </w:rPr>
        <w:t>, los</w:t>
      </w:r>
      <w:r w:rsidR="00723BFF" w:rsidRPr="007861DC">
        <w:rPr>
          <w:rFonts w:ascii="Times New Roman" w:hAnsi="Times New Roman" w:cs="Times New Roman"/>
          <w:sz w:val="19"/>
          <w:szCs w:val="19"/>
        </w:rPr>
        <w:t xml:space="preserve"> </w:t>
      </w:r>
      <w:r w:rsidR="00934829" w:rsidRPr="007861DC">
        <w:rPr>
          <w:rFonts w:ascii="Times New Roman" w:hAnsi="Times New Roman" w:cs="Times New Roman"/>
          <w:sz w:val="19"/>
          <w:szCs w:val="19"/>
        </w:rPr>
        <w:t>estudiantes</w:t>
      </w:r>
      <w:r w:rsidR="00011EDB" w:rsidRPr="007861DC">
        <w:rPr>
          <w:rFonts w:ascii="Times New Roman" w:hAnsi="Times New Roman" w:cs="Times New Roman"/>
          <w:sz w:val="19"/>
          <w:szCs w:val="19"/>
        </w:rPr>
        <w:t xml:space="preserve"> de </w:t>
      </w:r>
      <w:r w:rsidR="00EB4135" w:rsidRPr="007861DC">
        <w:rPr>
          <w:rFonts w:ascii="Times New Roman" w:hAnsi="Times New Roman" w:cs="Times New Roman"/>
          <w:sz w:val="19"/>
          <w:szCs w:val="19"/>
        </w:rPr>
        <w:t>México,</w:t>
      </w:r>
      <w:r w:rsidR="00011EDB" w:rsidRPr="007861DC">
        <w:rPr>
          <w:rFonts w:ascii="Times New Roman" w:hAnsi="Times New Roman" w:cs="Times New Roman"/>
          <w:sz w:val="19"/>
          <w:szCs w:val="19"/>
        </w:rPr>
        <w:t xml:space="preserve"> reciben</w:t>
      </w:r>
      <w:r w:rsidR="00934829" w:rsidRPr="007861DC">
        <w:rPr>
          <w:rFonts w:ascii="Times New Roman" w:hAnsi="Times New Roman" w:cs="Times New Roman"/>
          <w:sz w:val="19"/>
          <w:szCs w:val="19"/>
        </w:rPr>
        <w:t xml:space="preserve"> una </w:t>
      </w:r>
      <w:r w:rsidR="00011EDB" w:rsidRPr="007861DC">
        <w:rPr>
          <w:rFonts w:ascii="Times New Roman" w:hAnsi="Times New Roman" w:cs="Times New Roman"/>
          <w:sz w:val="19"/>
          <w:szCs w:val="19"/>
        </w:rPr>
        <w:t xml:space="preserve"> formación académica y humana</w:t>
      </w:r>
      <w:r w:rsidRPr="007861DC">
        <w:rPr>
          <w:rFonts w:ascii="Times New Roman" w:hAnsi="Times New Roman" w:cs="Times New Roman"/>
          <w:sz w:val="19"/>
          <w:szCs w:val="19"/>
        </w:rPr>
        <w:t xml:space="preserve">,  la </w:t>
      </w:r>
      <w:r w:rsidR="0086705D" w:rsidRPr="007861DC">
        <w:rPr>
          <w:rFonts w:ascii="Times New Roman" w:hAnsi="Times New Roman" w:cs="Times New Roman"/>
          <w:sz w:val="19"/>
          <w:szCs w:val="19"/>
        </w:rPr>
        <w:t>cual</w:t>
      </w:r>
      <w:r w:rsidR="00723BFF" w:rsidRPr="007861DC">
        <w:rPr>
          <w:rFonts w:ascii="Times New Roman" w:hAnsi="Times New Roman" w:cs="Times New Roman"/>
          <w:sz w:val="19"/>
          <w:szCs w:val="19"/>
        </w:rPr>
        <w:t xml:space="preserve"> l</w:t>
      </w:r>
      <w:r w:rsidRPr="007861DC">
        <w:rPr>
          <w:rFonts w:ascii="Times New Roman" w:hAnsi="Times New Roman" w:cs="Times New Roman"/>
          <w:sz w:val="19"/>
          <w:szCs w:val="19"/>
        </w:rPr>
        <w:t>es permite</w:t>
      </w:r>
      <w:r w:rsidR="00011EDB" w:rsidRPr="007861DC">
        <w:rPr>
          <w:rFonts w:ascii="Times New Roman" w:hAnsi="Times New Roman" w:cs="Times New Roman"/>
          <w:sz w:val="19"/>
          <w:szCs w:val="19"/>
        </w:rPr>
        <w:t xml:space="preserve"> </w:t>
      </w:r>
      <w:r w:rsidR="00EB4135" w:rsidRPr="007861DC">
        <w:rPr>
          <w:rFonts w:ascii="Times New Roman" w:hAnsi="Times New Roman" w:cs="Times New Roman"/>
          <w:sz w:val="19"/>
          <w:szCs w:val="19"/>
        </w:rPr>
        <w:t xml:space="preserve">mejorar </w:t>
      </w:r>
      <w:r w:rsidR="00011EDB" w:rsidRPr="007861DC">
        <w:rPr>
          <w:rFonts w:ascii="Times New Roman" w:hAnsi="Times New Roman" w:cs="Times New Roman"/>
          <w:sz w:val="19"/>
          <w:szCs w:val="19"/>
        </w:rPr>
        <w:t xml:space="preserve"> sus condiciones económicas y sociales, pero </w:t>
      </w:r>
      <w:r w:rsidR="0086705D" w:rsidRPr="007861DC">
        <w:rPr>
          <w:rFonts w:ascii="Times New Roman" w:hAnsi="Times New Roman" w:cs="Times New Roman"/>
          <w:sz w:val="19"/>
          <w:szCs w:val="19"/>
        </w:rPr>
        <w:t xml:space="preserve">a la vez </w:t>
      </w:r>
      <w:r w:rsidR="00EB4135" w:rsidRPr="007861DC">
        <w:rPr>
          <w:rFonts w:ascii="Times New Roman" w:hAnsi="Times New Roman" w:cs="Times New Roman"/>
          <w:sz w:val="19"/>
          <w:szCs w:val="19"/>
        </w:rPr>
        <w:t>se enfoca</w:t>
      </w:r>
      <w:r w:rsidR="00011EDB" w:rsidRPr="007861DC">
        <w:rPr>
          <w:rFonts w:ascii="Times New Roman" w:hAnsi="Times New Roman" w:cs="Times New Roman"/>
          <w:sz w:val="19"/>
          <w:szCs w:val="19"/>
        </w:rPr>
        <w:t xml:space="preserve"> al mejoramiento de las condiciones de la socie</w:t>
      </w:r>
      <w:r w:rsidR="00EB4135" w:rsidRPr="007861DC">
        <w:rPr>
          <w:rFonts w:ascii="Times New Roman" w:hAnsi="Times New Roman" w:cs="Times New Roman"/>
          <w:sz w:val="19"/>
          <w:szCs w:val="19"/>
        </w:rPr>
        <w:t>dad en conjunto</w:t>
      </w:r>
      <w:r w:rsidR="00011EDB" w:rsidRPr="007861DC">
        <w:rPr>
          <w:rFonts w:ascii="Times New Roman" w:hAnsi="Times New Roman" w:cs="Times New Roman"/>
          <w:sz w:val="19"/>
          <w:szCs w:val="19"/>
        </w:rPr>
        <w:t xml:space="preserve"> y la aplicación de sus conocimientos.</w:t>
      </w:r>
    </w:p>
    <w:p w:rsidR="001A4FF0" w:rsidRPr="007861DC" w:rsidRDefault="00EB4135" w:rsidP="00934829">
      <w:pPr>
        <w:ind w:firstLine="708"/>
        <w:jc w:val="both"/>
        <w:rPr>
          <w:rFonts w:ascii="Times New Roman" w:hAnsi="Times New Roman" w:cs="Times New Roman"/>
          <w:sz w:val="19"/>
          <w:szCs w:val="19"/>
        </w:rPr>
      </w:pPr>
      <w:r w:rsidRPr="007861DC">
        <w:rPr>
          <w:rFonts w:ascii="Times New Roman" w:hAnsi="Times New Roman" w:cs="Times New Roman"/>
          <w:sz w:val="19"/>
          <w:szCs w:val="19"/>
        </w:rPr>
        <w:t>L</w:t>
      </w:r>
      <w:r w:rsidR="001A4FF0" w:rsidRPr="007861DC">
        <w:rPr>
          <w:rFonts w:ascii="Times New Roman" w:hAnsi="Times New Roman" w:cs="Times New Roman"/>
          <w:sz w:val="19"/>
          <w:szCs w:val="19"/>
        </w:rPr>
        <w:t xml:space="preserve">a práctica del Servicio Social Comunitario </w:t>
      </w:r>
      <w:r w:rsidR="00B82F86" w:rsidRPr="007861DC">
        <w:rPr>
          <w:rFonts w:ascii="Times New Roman" w:hAnsi="Times New Roman" w:cs="Times New Roman"/>
          <w:sz w:val="19"/>
          <w:szCs w:val="19"/>
        </w:rPr>
        <w:t xml:space="preserve">debe </w:t>
      </w:r>
      <w:r w:rsidR="001A4FF0" w:rsidRPr="007861DC">
        <w:rPr>
          <w:rFonts w:ascii="Times New Roman" w:hAnsi="Times New Roman" w:cs="Times New Roman"/>
          <w:sz w:val="19"/>
          <w:szCs w:val="19"/>
        </w:rPr>
        <w:t>comprende</w:t>
      </w:r>
      <w:r w:rsidR="00B82F86" w:rsidRPr="007861DC">
        <w:rPr>
          <w:rFonts w:ascii="Times New Roman" w:hAnsi="Times New Roman" w:cs="Times New Roman"/>
          <w:sz w:val="19"/>
          <w:szCs w:val="19"/>
        </w:rPr>
        <w:t xml:space="preserve">r </w:t>
      </w:r>
      <w:r w:rsidR="00DC3A80" w:rsidRPr="007861DC">
        <w:rPr>
          <w:rFonts w:ascii="Times New Roman" w:hAnsi="Times New Roman" w:cs="Times New Roman"/>
          <w:sz w:val="19"/>
          <w:szCs w:val="19"/>
        </w:rPr>
        <w:t xml:space="preserve"> dos componentes fundamentales</w:t>
      </w:r>
      <w:r w:rsidRPr="007861DC">
        <w:rPr>
          <w:rFonts w:ascii="Times New Roman" w:hAnsi="Times New Roman" w:cs="Times New Roman"/>
          <w:sz w:val="19"/>
          <w:szCs w:val="19"/>
        </w:rPr>
        <w:t xml:space="preserve"> (ANUIES, 1999)</w:t>
      </w:r>
      <w:r w:rsidR="00DC3A80" w:rsidRPr="007861DC">
        <w:rPr>
          <w:rFonts w:ascii="Times New Roman" w:hAnsi="Times New Roman" w:cs="Times New Roman"/>
          <w:sz w:val="19"/>
          <w:szCs w:val="19"/>
        </w:rPr>
        <w:t>:</w:t>
      </w:r>
    </w:p>
    <w:p w:rsidR="001A4FF0" w:rsidRPr="007861DC" w:rsidRDefault="001A4FF0" w:rsidP="001A4FF0">
      <w:pPr>
        <w:pStyle w:val="Prrafodelista"/>
        <w:numPr>
          <w:ilvl w:val="0"/>
          <w:numId w:val="2"/>
        </w:numPr>
        <w:jc w:val="both"/>
        <w:rPr>
          <w:rFonts w:ascii="Times New Roman" w:hAnsi="Times New Roman" w:cs="Times New Roman"/>
          <w:sz w:val="19"/>
          <w:szCs w:val="19"/>
        </w:rPr>
      </w:pPr>
      <w:r w:rsidRPr="007861DC">
        <w:rPr>
          <w:rFonts w:ascii="Times New Roman" w:hAnsi="Times New Roman" w:cs="Times New Roman"/>
          <w:sz w:val="19"/>
          <w:szCs w:val="19"/>
        </w:rPr>
        <w:t xml:space="preserve">El </w:t>
      </w:r>
      <w:r w:rsidR="00773140" w:rsidRPr="007861DC">
        <w:rPr>
          <w:rFonts w:ascii="Times New Roman" w:hAnsi="Times New Roman" w:cs="Times New Roman"/>
          <w:sz w:val="19"/>
          <w:szCs w:val="19"/>
        </w:rPr>
        <w:t>desarrollo de</w:t>
      </w:r>
      <w:r w:rsidR="00EB4135" w:rsidRPr="007861DC">
        <w:rPr>
          <w:rFonts w:ascii="Times New Roman" w:hAnsi="Times New Roman" w:cs="Times New Roman"/>
          <w:sz w:val="19"/>
          <w:szCs w:val="19"/>
        </w:rPr>
        <w:t>l</w:t>
      </w:r>
      <w:r w:rsidR="00773140" w:rsidRPr="007861DC">
        <w:rPr>
          <w:rFonts w:ascii="Times New Roman" w:hAnsi="Times New Roman" w:cs="Times New Roman"/>
          <w:sz w:val="19"/>
          <w:szCs w:val="19"/>
        </w:rPr>
        <w:t xml:space="preserve"> estudiante</w:t>
      </w:r>
      <w:r w:rsidR="00EB4135" w:rsidRPr="007861DC">
        <w:rPr>
          <w:rFonts w:ascii="Times New Roman" w:hAnsi="Times New Roman" w:cs="Times New Roman"/>
          <w:sz w:val="19"/>
          <w:szCs w:val="19"/>
        </w:rPr>
        <w:t>,</w:t>
      </w:r>
      <w:r w:rsidR="00DC3A80" w:rsidRPr="007861DC">
        <w:rPr>
          <w:rFonts w:ascii="Times New Roman" w:hAnsi="Times New Roman" w:cs="Times New Roman"/>
          <w:sz w:val="19"/>
          <w:szCs w:val="19"/>
        </w:rPr>
        <w:t xml:space="preserve"> </w:t>
      </w:r>
      <w:r w:rsidR="00773140" w:rsidRPr="007861DC">
        <w:rPr>
          <w:rFonts w:ascii="Times New Roman" w:hAnsi="Times New Roman" w:cs="Times New Roman"/>
          <w:sz w:val="19"/>
          <w:szCs w:val="19"/>
        </w:rPr>
        <w:t>donde</w:t>
      </w:r>
      <w:r w:rsidR="00723BFF" w:rsidRPr="007861DC">
        <w:rPr>
          <w:rFonts w:ascii="Times New Roman" w:hAnsi="Times New Roman" w:cs="Times New Roman"/>
          <w:sz w:val="19"/>
          <w:szCs w:val="19"/>
        </w:rPr>
        <w:t xml:space="preserve"> </w:t>
      </w:r>
      <w:r w:rsidR="00DC3A80" w:rsidRPr="007861DC">
        <w:rPr>
          <w:rFonts w:ascii="Times New Roman" w:hAnsi="Times New Roman" w:cs="Times New Roman"/>
          <w:sz w:val="19"/>
          <w:szCs w:val="19"/>
        </w:rPr>
        <w:t>se pone</w:t>
      </w:r>
      <w:r w:rsidRPr="007861DC">
        <w:rPr>
          <w:rFonts w:ascii="Times New Roman" w:hAnsi="Times New Roman" w:cs="Times New Roman"/>
          <w:sz w:val="19"/>
          <w:szCs w:val="19"/>
        </w:rPr>
        <w:t xml:space="preserve"> en práct</w:t>
      </w:r>
      <w:r w:rsidR="00B82F86" w:rsidRPr="007861DC">
        <w:rPr>
          <w:rFonts w:ascii="Times New Roman" w:hAnsi="Times New Roman" w:cs="Times New Roman"/>
          <w:sz w:val="19"/>
          <w:szCs w:val="19"/>
        </w:rPr>
        <w:t>ica lo aprendido en las aulas</w:t>
      </w:r>
      <w:r w:rsidR="00DC3A80"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773140" w:rsidRPr="007861DC">
        <w:rPr>
          <w:rFonts w:ascii="Times New Roman" w:hAnsi="Times New Roman" w:cs="Times New Roman"/>
          <w:sz w:val="19"/>
          <w:szCs w:val="19"/>
        </w:rPr>
        <w:t>comprobando</w:t>
      </w:r>
      <w:r w:rsidRPr="007861DC">
        <w:rPr>
          <w:rFonts w:ascii="Times New Roman" w:hAnsi="Times New Roman" w:cs="Times New Roman"/>
          <w:sz w:val="19"/>
          <w:szCs w:val="19"/>
        </w:rPr>
        <w:t xml:space="preserve"> la teoría con</w:t>
      </w:r>
      <w:r w:rsidR="00B82F86" w:rsidRPr="007861DC">
        <w:rPr>
          <w:rFonts w:ascii="Times New Roman" w:hAnsi="Times New Roman" w:cs="Times New Roman"/>
          <w:sz w:val="19"/>
          <w:szCs w:val="19"/>
        </w:rPr>
        <w:t xml:space="preserve"> la realidad, lo </w:t>
      </w:r>
      <w:r w:rsidR="00EB4135" w:rsidRPr="007861DC">
        <w:rPr>
          <w:rFonts w:ascii="Times New Roman" w:hAnsi="Times New Roman" w:cs="Times New Roman"/>
          <w:sz w:val="19"/>
          <w:szCs w:val="19"/>
        </w:rPr>
        <w:t>cual</w:t>
      </w:r>
      <w:r w:rsidR="00B82F86" w:rsidRPr="007861DC">
        <w:rPr>
          <w:rFonts w:ascii="Times New Roman" w:hAnsi="Times New Roman" w:cs="Times New Roman"/>
          <w:sz w:val="19"/>
          <w:szCs w:val="19"/>
        </w:rPr>
        <w:t xml:space="preserve"> permitirá </w:t>
      </w:r>
      <w:r w:rsidR="00773140" w:rsidRPr="007861DC">
        <w:rPr>
          <w:rFonts w:ascii="Times New Roman" w:hAnsi="Times New Roman" w:cs="Times New Roman"/>
          <w:sz w:val="19"/>
          <w:szCs w:val="19"/>
        </w:rPr>
        <w:t xml:space="preserve">al </w:t>
      </w:r>
      <w:r w:rsidR="00EB4135" w:rsidRPr="007861DC">
        <w:rPr>
          <w:rFonts w:ascii="Times New Roman" w:hAnsi="Times New Roman" w:cs="Times New Roman"/>
          <w:sz w:val="19"/>
          <w:szCs w:val="19"/>
        </w:rPr>
        <w:t>mismo,</w:t>
      </w:r>
      <w:r w:rsidR="00773140" w:rsidRPr="007861DC">
        <w:rPr>
          <w:rFonts w:ascii="Times New Roman" w:hAnsi="Times New Roman" w:cs="Times New Roman"/>
          <w:sz w:val="19"/>
          <w:szCs w:val="19"/>
        </w:rPr>
        <w:t xml:space="preserve"> </w:t>
      </w:r>
      <w:r w:rsidR="00DC3A80" w:rsidRPr="007861DC">
        <w:rPr>
          <w:rFonts w:ascii="Times New Roman" w:hAnsi="Times New Roman" w:cs="Times New Roman"/>
          <w:sz w:val="19"/>
          <w:szCs w:val="19"/>
        </w:rPr>
        <w:t>realizar</w:t>
      </w:r>
      <w:r w:rsidR="00B82F86" w:rsidRPr="007861DC">
        <w:rPr>
          <w:rFonts w:ascii="Times New Roman" w:hAnsi="Times New Roman" w:cs="Times New Roman"/>
          <w:sz w:val="19"/>
          <w:szCs w:val="19"/>
        </w:rPr>
        <w:t xml:space="preserve"> trabajos que puedan</w:t>
      </w:r>
      <w:r w:rsidR="00DC3A80" w:rsidRPr="007861DC">
        <w:rPr>
          <w:rFonts w:ascii="Times New Roman" w:hAnsi="Times New Roman" w:cs="Times New Roman"/>
          <w:sz w:val="19"/>
          <w:szCs w:val="19"/>
        </w:rPr>
        <w:t xml:space="preserve"> servir</w:t>
      </w:r>
      <w:r w:rsidRPr="007861DC">
        <w:rPr>
          <w:rFonts w:ascii="Times New Roman" w:hAnsi="Times New Roman" w:cs="Times New Roman"/>
          <w:sz w:val="19"/>
          <w:szCs w:val="19"/>
        </w:rPr>
        <w:t xml:space="preserve"> de proyectos de tesis para su titulación, </w:t>
      </w:r>
      <w:r w:rsidR="00DC3A80" w:rsidRPr="007861DC">
        <w:rPr>
          <w:rFonts w:ascii="Times New Roman" w:hAnsi="Times New Roman" w:cs="Times New Roman"/>
          <w:sz w:val="19"/>
          <w:szCs w:val="19"/>
        </w:rPr>
        <w:t>como</w:t>
      </w:r>
      <w:r w:rsidRPr="007861DC">
        <w:rPr>
          <w:rFonts w:ascii="Times New Roman" w:hAnsi="Times New Roman" w:cs="Times New Roman"/>
          <w:sz w:val="19"/>
          <w:szCs w:val="19"/>
        </w:rPr>
        <w:t xml:space="preserve"> un requisito </w:t>
      </w:r>
      <w:r w:rsidR="00DC3A80" w:rsidRPr="007861DC">
        <w:rPr>
          <w:rFonts w:ascii="Times New Roman" w:hAnsi="Times New Roman" w:cs="Times New Roman"/>
          <w:sz w:val="19"/>
          <w:szCs w:val="19"/>
        </w:rPr>
        <w:t xml:space="preserve">para </w:t>
      </w:r>
      <w:r w:rsidR="00EB4135" w:rsidRPr="007861DC">
        <w:rPr>
          <w:rFonts w:ascii="Times New Roman" w:hAnsi="Times New Roman" w:cs="Times New Roman"/>
          <w:sz w:val="19"/>
          <w:szCs w:val="19"/>
        </w:rPr>
        <w:t>esta</w:t>
      </w:r>
      <w:r w:rsidRPr="007861DC">
        <w:rPr>
          <w:rFonts w:ascii="Times New Roman" w:hAnsi="Times New Roman" w:cs="Times New Roman"/>
          <w:sz w:val="19"/>
          <w:szCs w:val="19"/>
        </w:rPr>
        <w:t>.</w:t>
      </w:r>
    </w:p>
    <w:p w:rsidR="001A4FF0" w:rsidRPr="007861DC" w:rsidRDefault="00C50A71" w:rsidP="001A4FF0">
      <w:pPr>
        <w:pStyle w:val="Prrafodelista"/>
        <w:numPr>
          <w:ilvl w:val="0"/>
          <w:numId w:val="2"/>
        </w:numPr>
        <w:jc w:val="both"/>
        <w:rPr>
          <w:rFonts w:ascii="Times New Roman" w:hAnsi="Times New Roman" w:cs="Times New Roman"/>
          <w:sz w:val="19"/>
          <w:szCs w:val="19"/>
        </w:rPr>
      </w:pPr>
      <w:r w:rsidRPr="007861DC">
        <w:rPr>
          <w:rFonts w:ascii="Times New Roman" w:hAnsi="Times New Roman" w:cs="Times New Roman"/>
          <w:sz w:val="19"/>
          <w:szCs w:val="19"/>
        </w:rPr>
        <w:t xml:space="preserve">El </w:t>
      </w:r>
      <w:r w:rsidR="00773140" w:rsidRPr="007861DC">
        <w:rPr>
          <w:rFonts w:ascii="Times New Roman" w:hAnsi="Times New Roman" w:cs="Times New Roman"/>
          <w:sz w:val="19"/>
          <w:szCs w:val="19"/>
        </w:rPr>
        <w:t>desarrollo de la sociedad</w:t>
      </w:r>
      <w:r w:rsidRPr="007861DC">
        <w:rPr>
          <w:rFonts w:ascii="Times New Roman" w:hAnsi="Times New Roman" w:cs="Times New Roman"/>
          <w:sz w:val="19"/>
          <w:szCs w:val="19"/>
        </w:rPr>
        <w:t xml:space="preserve">, en el cual se </w:t>
      </w:r>
      <w:r w:rsidR="00B82F86" w:rsidRPr="007861DC">
        <w:rPr>
          <w:rFonts w:ascii="Times New Roman" w:hAnsi="Times New Roman" w:cs="Times New Roman"/>
          <w:sz w:val="19"/>
          <w:szCs w:val="19"/>
        </w:rPr>
        <w:t>incluye</w:t>
      </w:r>
      <w:r w:rsidRPr="007861DC">
        <w:rPr>
          <w:rFonts w:ascii="Times New Roman" w:hAnsi="Times New Roman" w:cs="Times New Roman"/>
          <w:sz w:val="19"/>
          <w:szCs w:val="19"/>
        </w:rPr>
        <w:t xml:space="preserve"> al </w:t>
      </w:r>
      <w:r w:rsidR="00773140" w:rsidRPr="007861DC">
        <w:rPr>
          <w:rFonts w:ascii="Times New Roman" w:hAnsi="Times New Roman" w:cs="Times New Roman"/>
          <w:sz w:val="19"/>
          <w:szCs w:val="19"/>
        </w:rPr>
        <w:t xml:space="preserve">estudiante </w:t>
      </w:r>
      <w:r w:rsidRPr="007861DC">
        <w:rPr>
          <w:rFonts w:ascii="Times New Roman" w:hAnsi="Times New Roman" w:cs="Times New Roman"/>
          <w:sz w:val="19"/>
          <w:szCs w:val="19"/>
        </w:rPr>
        <w:t xml:space="preserve">universitario en el </w:t>
      </w:r>
      <w:r w:rsidR="00773140" w:rsidRPr="007861DC">
        <w:rPr>
          <w:rFonts w:ascii="Times New Roman" w:hAnsi="Times New Roman" w:cs="Times New Roman"/>
          <w:sz w:val="19"/>
          <w:szCs w:val="19"/>
        </w:rPr>
        <w:t>progreso</w:t>
      </w:r>
      <w:r w:rsidRPr="007861DC">
        <w:rPr>
          <w:rFonts w:ascii="Times New Roman" w:hAnsi="Times New Roman" w:cs="Times New Roman"/>
          <w:sz w:val="19"/>
          <w:szCs w:val="19"/>
        </w:rPr>
        <w:t xml:space="preserve"> de las comunidades, </w:t>
      </w:r>
      <w:r w:rsidR="00EB4135" w:rsidRPr="007861DC">
        <w:rPr>
          <w:rFonts w:ascii="Times New Roman" w:hAnsi="Times New Roman" w:cs="Times New Roman"/>
          <w:sz w:val="19"/>
          <w:szCs w:val="19"/>
        </w:rPr>
        <w:t>con</w:t>
      </w:r>
      <w:r w:rsidR="00DC3A80" w:rsidRPr="007861DC">
        <w:rPr>
          <w:rFonts w:ascii="Times New Roman" w:hAnsi="Times New Roman" w:cs="Times New Roman"/>
          <w:sz w:val="19"/>
          <w:szCs w:val="19"/>
        </w:rPr>
        <w:t>firmando</w:t>
      </w:r>
      <w:r w:rsidRPr="007861DC">
        <w:rPr>
          <w:rFonts w:ascii="Times New Roman" w:hAnsi="Times New Roman" w:cs="Times New Roman"/>
          <w:sz w:val="19"/>
          <w:szCs w:val="19"/>
        </w:rPr>
        <w:t xml:space="preserve"> su compromiso social y </w:t>
      </w:r>
      <w:r w:rsidR="00EB4135" w:rsidRPr="007861DC">
        <w:rPr>
          <w:rFonts w:ascii="Times New Roman" w:hAnsi="Times New Roman" w:cs="Times New Roman"/>
          <w:sz w:val="19"/>
          <w:szCs w:val="19"/>
        </w:rPr>
        <w:t>la retroalimentación de</w:t>
      </w:r>
      <w:r w:rsidRPr="007861DC">
        <w:rPr>
          <w:rFonts w:ascii="Times New Roman" w:hAnsi="Times New Roman" w:cs="Times New Roman"/>
          <w:sz w:val="19"/>
          <w:szCs w:val="19"/>
        </w:rPr>
        <w:t xml:space="preserve"> su conocimiento </w:t>
      </w:r>
      <w:r w:rsidR="00B82F86" w:rsidRPr="007861DC">
        <w:rPr>
          <w:rFonts w:ascii="Times New Roman" w:hAnsi="Times New Roman" w:cs="Times New Roman"/>
          <w:sz w:val="19"/>
          <w:szCs w:val="19"/>
        </w:rPr>
        <w:t xml:space="preserve">a través del aprendizaje </w:t>
      </w:r>
      <w:r w:rsidR="00773140" w:rsidRPr="007861DC">
        <w:rPr>
          <w:rFonts w:ascii="Times New Roman" w:hAnsi="Times New Roman" w:cs="Times New Roman"/>
          <w:sz w:val="19"/>
          <w:szCs w:val="19"/>
        </w:rPr>
        <w:t>práctico</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sobre la realidad nacional.</w:t>
      </w:r>
    </w:p>
    <w:p w:rsidR="00DC3A80" w:rsidRPr="007861DC" w:rsidRDefault="00773140" w:rsidP="003C7FF1">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La Secretaria de Desarrollo Social </w:t>
      </w:r>
      <w:r w:rsidR="003C7FF1" w:rsidRPr="007861DC">
        <w:rPr>
          <w:rFonts w:ascii="Times New Roman" w:hAnsi="Times New Roman" w:cs="Times New Roman"/>
          <w:sz w:val="19"/>
          <w:szCs w:val="19"/>
        </w:rPr>
        <w:t xml:space="preserve">(2006) </w:t>
      </w:r>
      <w:r w:rsidR="00CD55A4" w:rsidRPr="007861DC">
        <w:rPr>
          <w:rFonts w:ascii="Times New Roman" w:hAnsi="Times New Roman" w:cs="Times New Roman"/>
          <w:sz w:val="19"/>
          <w:szCs w:val="19"/>
        </w:rPr>
        <w:t>con el</w:t>
      </w:r>
      <w:r w:rsidR="00723BFF" w:rsidRPr="007861DC">
        <w:rPr>
          <w:rFonts w:ascii="Times New Roman" w:hAnsi="Times New Roman" w:cs="Times New Roman"/>
          <w:sz w:val="19"/>
          <w:szCs w:val="19"/>
        </w:rPr>
        <w:t xml:space="preserve"> </w:t>
      </w:r>
      <w:r w:rsidR="003C7FF1" w:rsidRPr="007861DC">
        <w:rPr>
          <w:rFonts w:ascii="Times New Roman" w:hAnsi="Times New Roman" w:cs="Times New Roman"/>
          <w:sz w:val="19"/>
          <w:szCs w:val="19"/>
        </w:rPr>
        <w:t>programa Jóvenes por México</w:t>
      </w:r>
      <w:r w:rsidR="00DC3A80"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912A85" w:rsidRPr="007861DC">
        <w:rPr>
          <w:rFonts w:ascii="Times New Roman" w:hAnsi="Times New Roman" w:cs="Times New Roman"/>
          <w:sz w:val="19"/>
          <w:szCs w:val="19"/>
        </w:rPr>
        <w:t>genera y distribuye el conocimiento como</w:t>
      </w:r>
      <w:r w:rsidR="00272ECC" w:rsidRPr="007861DC">
        <w:rPr>
          <w:rFonts w:ascii="Times New Roman" w:hAnsi="Times New Roman" w:cs="Times New Roman"/>
          <w:sz w:val="19"/>
          <w:szCs w:val="19"/>
        </w:rPr>
        <w:t xml:space="preserve"> factor fundamental para la competitividad de países e individuos. Por otra parte, las grandes desigualdades sociales y</w:t>
      </w:r>
      <w:r w:rsidR="00DC3A80" w:rsidRPr="007861DC">
        <w:rPr>
          <w:rFonts w:ascii="Times New Roman" w:hAnsi="Times New Roman" w:cs="Times New Roman"/>
          <w:sz w:val="19"/>
          <w:szCs w:val="19"/>
        </w:rPr>
        <w:t xml:space="preserve"> de</w:t>
      </w:r>
      <w:r w:rsidR="00272ECC" w:rsidRPr="007861DC">
        <w:rPr>
          <w:rFonts w:ascii="Times New Roman" w:hAnsi="Times New Roman" w:cs="Times New Roman"/>
          <w:sz w:val="19"/>
          <w:szCs w:val="19"/>
        </w:rPr>
        <w:t xml:space="preserve"> pobreza que se vive</w:t>
      </w:r>
      <w:r w:rsidR="002552B0" w:rsidRPr="007861DC">
        <w:rPr>
          <w:rFonts w:ascii="Times New Roman" w:hAnsi="Times New Roman" w:cs="Times New Roman"/>
          <w:sz w:val="19"/>
          <w:szCs w:val="19"/>
        </w:rPr>
        <w:t>n</w:t>
      </w:r>
      <w:r w:rsidR="00272ECC" w:rsidRPr="007861DC">
        <w:rPr>
          <w:rFonts w:ascii="Times New Roman" w:hAnsi="Times New Roman" w:cs="Times New Roman"/>
          <w:sz w:val="19"/>
          <w:szCs w:val="19"/>
        </w:rPr>
        <w:t xml:space="preserve"> en </w:t>
      </w:r>
      <w:r w:rsidR="00912A85" w:rsidRPr="007861DC">
        <w:rPr>
          <w:rFonts w:ascii="Times New Roman" w:hAnsi="Times New Roman" w:cs="Times New Roman"/>
          <w:sz w:val="19"/>
          <w:szCs w:val="19"/>
        </w:rPr>
        <w:t>México, establece</w:t>
      </w:r>
      <w:r w:rsidRPr="007861DC">
        <w:rPr>
          <w:rFonts w:ascii="Times New Roman" w:hAnsi="Times New Roman" w:cs="Times New Roman"/>
          <w:sz w:val="19"/>
          <w:szCs w:val="19"/>
        </w:rPr>
        <w:t>n</w:t>
      </w:r>
      <w:r w:rsidR="00272ECC" w:rsidRPr="007861DC">
        <w:rPr>
          <w:rFonts w:ascii="Times New Roman" w:hAnsi="Times New Roman" w:cs="Times New Roman"/>
          <w:sz w:val="19"/>
          <w:szCs w:val="19"/>
        </w:rPr>
        <w:t xml:space="preserve"> como reto principal</w:t>
      </w:r>
      <w:r w:rsidR="00FF6983" w:rsidRPr="007861DC">
        <w:rPr>
          <w:rFonts w:ascii="Times New Roman" w:hAnsi="Times New Roman" w:cs="Times New Roman"/>
          <w:sz w:val="19"/>
          <w:szCs w:val="19"/>
        </w:rPr>
        <w:t xml:space="preserve"> el crecimiento con equidad</w:t>
      </w:r>
      <w:r w:rsidR="002552B0" w:rsidRPr="007861DC">
        <w:rPr>
          <w:rFonts w:ascii="Times New Roman" w:hAnsi="Times New Roman" w:cs="Times New Roman"/>
          <w:sz w:val="19"/>
          <w:szCs w:val="19"/>
        </w:rPr>
        <w:t>,</w:t>
      </w:r>
      <w:r w:rsidR="00DC3A80" w:rsidRPr="007861DC">
        <w:rPr>
          <w:rFonts w:ascii="Times New Roman" w:hAnsi="Times New Roman" w:cs="Times New Roman"/>
          <w:sz w:val="19"/>
          <w:szCs w:val="19"/>
        </w:rPr>
        <w:t xml:space="preserve"> con la finalidad de brindar</w:t>
      </w:r>
      <w:r w:rsidR="002552B0" w:rsidRPr="007861DC">
        <w:rPr>
          <w:rFonts w:ascii="Times New Roman" w:hAnsi="Times New Roman" w:cs="Times New Roman"/>
          <w:sz w:val="19"/>
          <w:szCs w:val="19"/>
        </w:rPr>
        <w:t xml:space="preserve"> las mismas</w:t>
      </w:r>
      <w:r w:rsidR="00DC3A80" w:rsidRPr="007861DC">
        <w:rPr>
          <w:rFonts w:ascii="Times New Roman" w:hAnsi="Times New Roman" w:cs="Times New Roman"/>
          <w:sz w:val="19"/>
          <w:szCs w:val="19"/>
        </w:rPr>
        <w:t xml:space="preserve"> oportunidades a todos</w:t>
      </w:r>
      <w:r w:rsidR="00FF6983" w:rsidRPr="007861DC">
        <w:rPr>
          <w:rFonts w:ascii="Times New Roman" w:hAnsi="Times New Roman" w:cs="Times New Roman"/>
          <w:sz w:val="19"/>
          <w:szCs w:val="19"/>
        </w:rPr>
        <w:t xml:space="preserve">, </w:t>
      </w:r>
      <w:r w:rsidR="002552B0" w:rsidRPr="007861DC">
        <w:rPr>
          <w:rFonts w:ascii="Times New Roman" w:hAnsi="Times New Roman" w:cs="Times New Roman"/>
          <w:sz w:val="19"/>
          <w:szCs w:val="19"/>
        </w:rPr>
        <w:t xml:space="preserve">tratando </w:t>
      </w:r>
      <w:r w:rsidR="006D2D66" w:rsidRPr="007861DC">
        <w:rPr>
          <w:rFonts w:ascii="Times New Roman" w:hAnsi="Times New Roman" w:cs="Times New Roman"/>
          <w:sz w:val="19"/>
          <w:szCs w:val="19"/>
        </w:rPr>
        <w:t xml:space="preserve">de </w:t>
      </w:r>
      <w:r w:rsidR="00913F1C" w:rsidRPr="007861DC">
        <w:rPr>
          <w:rFonts w:ascii="Times New Roman" w:hAnsi="Times New Roman" w:cs="Times New Roman"/>
          <w:sz w:val="19"/>
          <w:szCs w:val="19"/>
        </w:rPr>
        <w:t>contribuir al desarrollo social y humano, así como a</w:t>
      </w:r>
      <w:r w:rsidR="002552B0" w:rsidRPr="007861DC">
        <w:rPr>
          <w:rFonts w:ascii="Times New Roman" w:hAnsi="Times New Roman" w:cs="Times New Roman"/>
          <w:sz w:val="19"/>
          <w:szCs w:val="19"/>
        </w:rPr>
        <w:t xml:space="preserve"> la generación de</w:t>
      </w:r>
      <w:r w:rsidR="00913F1C" w:rsidRPr="007861DC">
        <w:rPr>
          <w:rFonts w:ascii="Times New Roman" w:hAnsi="Times New Roman" w:cs="Times New Roman"/>
          <w:sz w:val="19"/>
          <w:szCs w:val="19"/>
        </w:rPr>
        <w:t xml:space="preserve"> avances que se manifiesten en la reducción de la pobreza extrema</w:t>
      </w:r>
      <w:r w:rsidR="00723BFF" w:rsidRPr="007861DC">
        <w:rPr>
          <w:rFonts w:ascii="Times New Roman" w:hAnsi="Times New Roman" w:cs="Times New Roman"/>
          <w:sz w:val="19"/>
          <w:szCs w:val="19"/>
        </w:rPr>
        <w:t xml:space="preserve"> </w:t>
      </w:r>
      <w:r w:rsidR="00913F1C" w:rsidRPr="007861DC">
        <w:rPr>
          <w:rFonts w:ascii="Times New Roman" w:hAnsi="Times New Roman" w:cs="Times New Roman"/>
          <w:sz w:val="19"/>
          <w:szCs w:val="19"/>
        </w:rPr>
        <w:t>y la desigualdad social.</w:t>
      </w:r>
    </w:p>
    <w:p w:rsidR="004D467C" w:rsidRPr="007861DC" w:rsidRDefault="00FF6983" w:rsidP="003C7FF1">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En este sentido las universidades se convierten en el principal factor para la formación del capital humano </w:t>
      </w:r>
      <w:r w:rsidR="004D467C" w:rsidRPr="007861DC">
        <w:rPr>
          <w:rFonts w:ascii="Times New Roman" w:hAnsi="Times New Roman" w:cs="Times New Roman"/>
          <w:sz w:val="19"/>
          <w:szCs w:val="19"/>
        </w:rPr>
        <w:t xml:space="preserve">y su labor </w:t>
      </w:r>
      <w:r w:rsidR="00DC3A80" w:rsidRPr="007861DC">
        <w:rPr>
          <w:rFonts w:ascii="Times New Roman" w:hAnsi="Times New Roman" w:cs="Times New Roman"/>
          <w:sz w:val="19"/>
          <w:szCs w:val="19"/>
        </w:rPr>
        <w:t xml:space="preserve">es </w:t>
      </w:r>
      <w:r w:rsidR="00EB4135" w:rsidRPr="007861DC">
        <w:rPr>
          <w:rFonts w:ascii="Times New Roman" w:hAnsi="Times New Roman" w:cs="Times New Roman"/>
          <w:sz w:val="19"/>
          <w:szCs w:val="19"/>
        </w:rPr>
        <w:t>la capacitación</w:t>
      </w:r>
      <w:r w:rsidR="00DC3A80" w:rsidRPr="007861DC">
        <w:rPr>
          <w:rFonts w:ascii="Times New Roman" w:hAnsi="Times New Roman" w:cs="Times New Roman"/>
          <w:sz w:val="19"/>
          <w:szCs w:val="19"/>
        </w:rPr>
        <w:t xml:space="preserve"> de un aliado</w:t>
      </w:r>
      <w:r w:rsidR="004D467C" w:rsidRPr="007861DC">
        <w:rPr>
          <w:rFonts w:ascii="Times New Roman" w:hAnsi="Times New Roman" w:cs="Times New Roman"/>
          <w:sz w:val="19"/>
          <w:szCs w:val="19"/>
        </w:rPr>
        <w:t xml:space="preserve"> para el desarrollo social y sustentable de un país.</w:t>
      </w:r>
    </w:p>
    <w:p w:rsidR="00A91BA1" w:rsidRPr="007861DC" w:rsidRDefault="003C7FF1" w:rsidP="00C03608">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Casilla, Camacho, </w:t>
      </w:r>
      <w:proofErr w:type="spellStart"/>
      <w:r w:rsidRPr="007861DC">
        <w:rPr>
          <w:rFonts w:ascii="Times New Roman" w:hAnsi="Times New Roman" w:cs="Times New Roman"/>
          <w:sz w:val="19"/>
          <w:szCs w:val="19"/>
        </w:rPr>
        <w:t>Inciarte</w:t>
      </w:r>
      <w:proofErr w:type="spellEnd"/>
      <w:r w:rsidRPr="007861DC">
        <w:rPr>
          <w:rFonts w:ascii="Times New Roman" w:hAnsi="Times New Roman" w:cs="Times New Roman"/>
          <w:sz w:val="19"/>
          <w:szCs w:val="19"/>
        </w:rPr>
        <w:t xml:space="preserve">, y </w:t>
      </w:r>
      <w:proofErr w:type="spellStart"/>
      <w:r w:rsidRPr="007861DC">
        <w:rPr>
          <w:rFonts w:ascii="Times New Roman" w:hAnsi="Times New Roman" w:cs="Times New Roman"/>
          <w:sz w:val="19"/>
          <w:szCs w:val="19"/>
        </w:rPr>
        <w:t>Canquiz</w:t>
      </w:r>
      <w:proofErr w:type="spellEnd"/>
      <w:r w:rsidRPr="007861DC">
        <w:rPr>
          <w:rFonts w:ascii="Times New Roman" w:hAnsi="Times New Roman" w:cs="Times New Roman"/>
          <w:sz w:val="19"/>
          <w:szCs w:val="19"/>
        </w:rPr>
        <w:t xml:space="preserve"> </w:t>
      </w:r>
      <w:r w:rsidR="00155AEE" w:rsidRPr="007861DC">
        <w:rPr>
          <w:rFonts w:ascii="Times New Roman" w:hAnsi="Times New Roman" w:cs="Times New Roman"/>
          <w:sz w:val="19"/>
          <w:szCs w:val="19"/>
        </w:rPr>
        <w:t xml:space="preserve">(2006) </w:t>
      </w:r>
      <w:r w:rsidR="0086705D" w:rsidRPr="007861DC">
        <w:rPr>
          <w:rFonts w:ascii="Times New Roman" w:hAnsi="Times New Roman" w:cs="Times New Roman"/>
          <w:sz w:val="19"/>
          <w:szCs w:val="19"/>
        </w:rPr>
        <w:t>afirman</w:t>
      </w:r>
      <w:r w:rsidR="00723BFF" w:rsidRPr="007861DC">
        <w:rPr>
          <w:rFonts w:ascii="Times New Roman" w:hAnsi="Times New Roman" w:cs="Times New Roman"/>
          <w:sz w:val="19"/>
          <w:szCs w:val="19"/>
        </w:rPr>
        <w:t xml:space="preserve"> </w:t>
      </w:r>
      <w:r w:rsidR="00155AEE" w:rsidRPr="007861DC">
        <w:rPr>
          <w:rFonts w:ascii="Times New Roman" w:hAnsi="Times New Roman" w:cs="Times New Roman"/>
          <w:sz w:val="19"/>
          <w:szCs w:val="19"/>
        </w:rPr>
        <w:t xml:space="preserve">que las </w:t>
      </w:r>
      <w:r w:rsidR="0086705D" w:rsidRPr="007861DC">
        <w:rPr>
          <w:rFonts w:ascii="Times New Roman" w:hAnsi="Times New Roman" w:cs="Times New Roman"/>
          <w:sz w:val="19"/>
          <w:szCs w:val="19"/>
        </w:rPr>
        <w:t>Instituciones de Educación Superior [IES],</w:t>
      </w:r>
      <w:r w:rsidR="00A91BA1" w:rsidRPr="007861DC">
        <w:rPr>
          <w:rFonts w:ascii="Times New Roman" w:hAnsi="Times New Roman" w:cs="Times New Roman"/>
          <w:sz w:val="19"/>
          <w:szCs w:val="19"/>
        </w:rPr>
        <w:t xml:space="preserve"> desarrolla</w:t>
      </w:r>
      <w:r w:rsidR="00155AEE" w:rsidRPr="007861DC">
        <w:rPr>
          <w:rFonts w:ascii="Times New Roman" w:hAnsi="Times New Roman" w:cs="Times New Roman"/>
          <w:sz w:val="19"/>
          <w:szCs w:val="19"/>
        </w:rPr>
        <w:t>n</w:t>
      </w:r>
      <w:r w:rsidR="00A91BA1" w:rsidRPr="007861DC">
        <w:rPr>
          <w:rFonts w:ascii="Times New Roman" w:hAnsi="Times New Roman" w:cs="Times New Roman"/>
          <w:sz w:val="19"/>
          <w:szCs w:val="19"/>
        </w:rPr>
        <w:t xml:space="preserve"> la investigación, la docencia y la extens</w:t>
      </w:r>
      <w:r w:rsidR="00155AEE" w:rsidRPr="007861DC">
        <w:rPr>
          <w:rFonts w:ascii="Times New Roman" w:hAnsi="Times New Roman" w:cs="Times New Roman"/>
          <w:sz w:val="19"/>
          <w:szCs w:val="19"/>
        </w:rPr>
        <w:t xml:space="preserve">ión, para organizar </w:t>
      </w:r>
      <w:r w:rsidR="00A91BA1" w:rsidRPr="007861DC">
        <w:rPr>
          <w:rFonts w:ascii="Times New Roman" w:hAnsi="Times New Roman" w:cs="Times New Roman"/>
          <w:sz w:val="19"/>
          <w:szCs w:val="19"/>
        </w:rPr>
        <w:t xml:space="preserve">sus esfuerzos </w:t>
      </w:r>
      <w:r w:rsidR="0086705D" w:rsidRPr="007861DC">
        <w:rPr>
          <w:rFonts w:ascii="Times New Roman" w:hAnsi="Times New Roman" w:cs="Times New Roman"/>
          <w:sz w:val="19"/>
          <w:szCs w:val="19"/>
        </w:rPr>
        <w:t>relacionados</w:t>
      </w:r>
      <w:r w:rsidR="00A91BA1" w:rsidRPr="007861DC">
        <w:rPr>
          <w:rFonts w:ascii="Times New Roman" w:hAnsi="Times New Roman" w:cs="Times New Roman"/>
          <w:sz w:val="19"/>
          <w:szCs w:val="19"/>
        </w:rPr>
        <w:t xml:space="preserve"> con la sostenibilidad del desarrollo</w:t>
      </w:r>
      <w:r w:rsidR="00155AEE" w:rsidRPr="007861DC">
        <w:rPr>
          <w:rFonts w:ascii="Times New Roman" w:hAnsi="Times New Roman" w:cs="Times New Roman"/>
          <w:sz w:val="19"/>
          <w:szCs w:val="19"/>
        </w:rPr>
        <w:t xml:space="preserve"> de las comunidades y</w:t>
      </w:r>
      <w:r w:rsidR="00A955CB" w:rsidRPr="007861DC">
        <w:rPr>
          <w:rFonts w:ascii="Times New Roman" w:hAnsi="Times New Roman" w:cs="Times New Roman"/>
          <w:sz w:val="19"/>
          <w:szCs w:val="19"/>
        </w:rPr>
        <w:t xml:space="preserve"> </w:t>
      </w:r>
      <w:r w:rsidR="00A91BA1" w:rsidRPr="007861DC">
        <w:rPr>
          <w:rFonts w:ascii="Times New Roman" w:hAnsi="Times New Roman" w:cs="Times New Roman"/>
          <w:sz w:val="19"/>
          <w:szCs w:val="19"/>
        </w:rPr>
        <w:t xml:space="preserve">su calidad de vida; en sus programas y diseños curriculares han </w:t>
      </w:r>
      <w:r w:rsidR="00DC3A80" w:rsidRPr="007861DC">
        <w:rPr>
          <w:rFonts w:ascii="Times New Roman" w:hAnsi="Times New Roman" w:cs="Times New Roman"/>
          <w:sz w:val="19"/>
          <w:szCs w:val="19"/>
        </w:rPr>
        <w:t>incluido</w:t>
      </w:r>
      <w:r w:rsidR="00A91BA1" w:rsidRPr="007861DC">
        <w:rPr>
          <w:rFonts w:ascii="Times New Roman" w:hAnsi="Times New Roman" w:cs="Times New Roman"/>
          <w:sz w:val="19"/>
          <w:szCs w:val="19"/>
        </w:rPr>
        <w:t xml:space="preserve"> experiencias comunitarias</w:t>
      </w:r>
      <w:r w:rsidR="006D2D66" w:rsidRPr="007861DC">
        <w:rPr>
          <w:rFonts w:ascii="Times New Roman" w:hAnsi="Times New Roman" w:cs="Times New Roman"/>
          <w:sz w:val="19"/>
          <w:szCs w:val="19"/>
        </w:rPr>
        <w:t xml:space="preserve"> a través del servicio social comunitario</w:t>
      </w:r>
      <w:r w:rsidR="0086705D" w:rsidRPr="007861DC">
        <w:rPr>
          <w:rFonts w:ascii="Times New Roman" w:hAnsi="Times New Roman" w:cs="Times New Roman"/>
          <w:sz w:val="19"/>
          <w:szCs w:val="19"/>
        </w:rPr>
        <w:t>, facilitando</w:t>
      </w:r>
      <w:r w:rsidR="00723BFF" w:rsidRPr="007861DC">
        <w:rPr>
          <w:rFonts w:ascii="Times New Roman" w:hAnsi="Times New Roman" w:cs="Times New Roman"/>
          <w:sz w:val="19"/>
          <w:szCs w:val="19"/>
        </w:rPr>
        <w:t xml:space="preserve"> </w:t>
      </w:r>
      <w:r w:rsidR="006D2D66" w:rsidRPr="007861DC">
        <w:rPr>
          <w:rFonts w:ascii="Times New Roman" w:hAnsi="Times New Roman" w:cs="Times New Roman"/>
          <w:sz w:val="19"/>
          <w:szCs w:val="19"/>
        </w:rPr>
        <w:t xml:space="preserve">así </w:t>
      </w:r>
      <w:r w:rsidR="00A91BA1" w:rsidRPr="007861DC">
        <w:rPr>
          <w:rFonts w:ascii="Times New Roman" w:hAnsi="Times New Roman" w:cs="Times New Roman"/>
          <w:sz w:val="19"/>
          <w:szCs w:val="19"/>
        </w:rPr>
        <w:t>el desarrollo huma</w:t>
      </w:r>
      <w:r w:rsidR="00155AEE" w:rsidRPr="007861DC">
        <w:rPr>
          <w:rFonts w:ascii="Times New Roman" w:hAnsi="Times New Roman" w:cs="Times New Roman"/>
          <w:sz w:val="19"/>
          <w:szCs w:val="19"/>
        </w:rPr>
        <w:t xml:space="preserve">no y social de su entorno. </w:t>
      </w:r>
      <w:r w:rsidR="0086705D" w:rsidRPr="007861DC">
        <w:rPr>
          <w:rFonts w:ascii="Times New Roman" w:hAnsi="Times New Roman" w:cs="Times New Roman"/>
          <w:sz w:val="19"/>
          <w:szCs w:val="19"/>
        </w:rPr>
        <w:t>Dichas</w:t>
      </w:r>
      <w:r w:rsidR="00A91BA1" w:rsidRPr="007861DC">
        <w:rPr>
          <w:rFonts w:ascii="Times New Roman" w:hAnsi="Times New Roman" w:cs="Times New Roman"/>
          <w:sz w:val="19"/>
          <w:szCs w:val="19"/>
        </w:rPr>
        <w:t xml:space="preserve"> experiencias constituyen</w:t>
      </w:r>
      <w:r w:rsidR="00155AEE" w:rsidRPr="007861DC">
        <w:rPr>
          <w:rFonts w:ascii="Times New Roman" w:hAnsi="Times New Roman" w:cs="Times New Roman"/>
          <w:sz w:val="19"/>
          <w:szCs w:val="19"/>
        </w:rPr>
        <w:t xml:space="preserve"> medios de</w:t>
      </w:r>
      <w:r w:rsidR="00A91BA1" w:rsidRPr="007861DC">
        <w:rPr>
          <w:rFonts w:ascii="Times New Roman" w:hAnsi="Times New Roman" w:cs="Times New Roman"/>
          <w:sz w:val="19"/>
          <w:szCs w:val="19"/>
        </w:rPr>
        <w:t xml:space="preserve"> aprendizajes que deben revisarse y sumarse, para </w:t>
      </w:r>
      <w:r w:rsidR="00C03608" w:rsidRPr="007861DC">
        <w:rPr>
          <w:rFonts w:ascii="Times New Roman" w:hAnsi="Times New Roman" w:cs="Times New Roman"/>
          <w:sz w:val="19"/>
          <w:szCs w:val="19"/>
        </w:rPr>
        <w:t>llevar a cabo</w:t>
      </w:r>
      <w:r w:rsidR="00A91BA1" w:rsidRPr="007861DC">
        <w:rPr>
          <w:rFonts w:ascii="Times New Roman" w:hAnsi="Times New Roman" w:cs="Times New Roman"/>
          <w:sz w:val="19"/>
          <w:szCs w:val="19"/>
        </w:rPr>
        <w:t xml:space="preserve"> esfuerzos colectivos en proyectos</w:t>
      </w:r>
      <w:r w:rsidR="00C03608"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86705D" w:rsidRPr="007861DC">
        <w:rPr>
          <w:rFonts w:ascii="Times New Roman" w:hAnsi="Times New Roman" w:cs="Times New Roman"/>
          <w:sz w:val="19"/>
          <w:szCs w:val="19"/>
        </w:rPr>
        <w:t>que</w:t>
      </w:r>
      <w:r w:rsidR="00A91BA1" w:rsidRPr="007861DC">
        <w:rPr>
          <w:rFonts w:ascii="Times New Roman" w:hAnsi="Times New Roman" w:cs="Times New Roman"/>
          <w:sz w:val="19"/>
          <w:szCs w:val="19"/>
        </w:rPr>
        <w:t xml:space="preserve"> permitirán a los </w:t>
      </w:r>
      <w:r w:rsidR="00155AEE" w:rsidRPr="007861DC">
        <w:rPr>
          <w:rFonts w:ascii="Times New Roman" w:hAnsi="Times New Roman" w:cs="Times New Roman"/>
          <w:sz w:val="19"/>
          <w:szCs w:val="19"/>
        </w:rPr>
        <w:t>estudiantes intervenir</w:t>
      </w:r>
      <w:r w:rsidR="0086705D" w:rsidRPr="007861DC">
        <w:rPr>
          <w:rFonts w:ascii="Times New Roman" w:hAnsi="Times New Roman" w:cs="Times New Roman"/>
          <w:sz w:val="19"/>
          <w:szCs w:val="19"/>
        </w:rPr>
        <w:t xml:space="preserve">, </w:t>
      </w:r>
      <w:r w:rsidR="00C03608" w:rsidRPr="007861DC">
        <w:rPr>
          <w:rFonts w:ascii="Times New Roman" w:hAnsi="Times New Roman" w:cs="Times New Roman"/>
          <w:sz w:val="19"/>
          <w:szCs w:val="19"/>
        </w:rPr>
        <w:t xml:space="preserve">enseñar </w:t>
      </w:r>
      <w:r w:rsidR="00A91BA1" w:rsidRPr="007861DC">
        <w:rPr>
          <w:rFonts w:ascii="Times New Roman" w:hAnsi="Times New Roman" w:cs="Times New Roman"/>
          <w:sz w:val="19"/>
          <w:szCs w:val="19"/>
        </w:rPr>
        <w:t>y transform</w:t>
      </w:r>
      <w:r w:rsidR="00C03608" w:rsidRPr="007861DC">
        <w:rPr>
          <w:rFonts w:ascii="Times New Roman" w:hAnsi="Times New Roman" w:cs="Times New Roman"/>
          <w:sz w:val="19"/>
          <w:szCs w:val="19"/>
        </w:rPr>
        <w:t xml:space="preserve">ar </w:t>
      </w:r>
      <w:r w:rsidR="00431B72" w:rsidRPr="007861DC">
        <w:rPr>
          <w:rFonts w:ascii="Times New Roman" w:hAnsi="Times New Roman" w:cs="Times New Roman"/>
          <w:sz w:val="19"/>
          <w:szCs w:val="19"/>
        </w:rPr>
        <w:t>las comunidades de interés soci</w:t>
      </w:r>
      <w:r w:rsidR="00C03608" w:rsidRPr="007861DC">
        <w:rPr>
          <w:rFonts w:ascii="Times New Roman" w:hAnsi="Times New Roman" w:cs="Times New Roman"/>
          <w:sz w:val="19"/>
          <w:szCs w:val="19"/>
        </w:rPr>
        <w:t>a</w:t>
      </w:r>
      <w:r w:rsidR="00431B72" w:rsidRPr="007861DC">
        <w:rPr>
          <w:rFonts w:ascii="Times New Roman" w:hAnsi="Times New Roman" w:cs="Times New Roman"/>
          <w:sz w:val="19"/>
          <w:szCs w:val="19"/>
        </w:rPr>
        <w:t>l, a</w:t>
      </w:r>
      <w:r w:rsidR="00C03608" w:rsidRPr="007861DC">
        <w:rPr>
          <w:rFonts w:ascii="Times New Roman" w:hAnsi="Times New Roman" w:cs="Times New Roman"/>
          <w:sz w:val="19"/>
          <w:szCs w:val="19"/>
        </w:rPr>
        <w:t xml:space="preserve"> través de una responsabilidad compartida,</w:t>
      </w:r>
      <w:r w:rsidR="00723BFF" w:rsidRPr="007861DC">
        <w:rPr>
          <w:rFonts w:ascii="Times New Roman" w:hAnsi="Times New Roman" w:cs="Times New Roman"/>
          <w:sz w:val="19"/>
          <w:szCs w:val="19"/>
        </w:rPr>
        <w:t xml:space="preserve"> </w:t>
      </w:r>
      <w:r w:rsidR="00C03608" w:rsidRPr="007861DC">
        <w:rPr>
          <w:rFonts w:ascii="Times New Roman" w:hAnsi="Times New Roman" w:cs="Times New Roman"/>
          <w:sz w:val="19"/>
          <w:szCs w:val="19"/>
        </w:rPr>
        <w:t>lo</w:t>
      </w:r>
      <w:r w:rsidR="00431B72" w:rsidRPr="007861DC">
        <w:rPr>
          <w:rFonts w:ascii="Times New Roman" w:hAnsi="Times New Roman" w:cs="Times New Roman"/>
          <w:sz w:val="19"/>
          <w:szCs w:val="19"/>
        </w:rPr>
        <w:t>grando</w:t>
      </w:r>
      <w:r w:rsidR="00C03608" w:rsidRPr="007861DC">
        <w:rPr>
          <w:rFonts w:ascii="Times New Roman" w:hAnsi="Times New Roman" w:cs="Times New Roman"/>
          <w:sz w:val="19"/>
          <w:szCs w:val="19"/>
        </w:rPr>
        <w:t xml:space="preserve"> un</w:t>
      </w:r>
      <w:r w:rsidR="00155AEE" w:rsidRPr="007861DC">
        <w:rPr>
          <w:rFonts w:ascii="Times New Roman" w:hAnsi="Times New Roman" w:cs="Times New Roman"/>
          <w:sz w:val="19"/>
          <w:szCs w:val="19"/>
        </w:rPr>
        <w:t xml:space="preserve"> desarrollo en conjunto</w:t>
      </w:r>
      <w:r w:rsidR="00A91BA1" w:rsidRPr="007861DC">
        <w:rPr>
          <w:rFonts w:ascii="Times New Roman" w:hAnsi="Times New Roman" w:cs="Times New Roman"/>
          <w:sz w:val="19"/>
          <w:szCs w:val="19"/>
        </w:rPr>
        <w:t>.</w:t>
      </w:r>
    </w:p>
    <w:p w:rsidR="000204B0" w:rsidRPr="007861DC" w:rsidRDefault="000204B0" w:rsidP="005E68A9">
      <w:pPr>
        <w:ind w:firstLine="708"/>
        <w:jc w:val="both"/>
        <w:rPr>
          <w:rFonts w:ascii="Times New Roman" w:hAnsi="Times New Roman" w:cs="Times New Roman"/>
          <w:sz w:val="19"/>
          <w:szCs w:val="19"/>
        </w:rPr>
      </w:pPr>
      <w:r w:rsidRPr="007861DC">
        <w:rPr>
          <w:rFonts w:ascii="Times New Roman" w:hAnsi="Times New Roman" w:cs="Times New Roman"/>
          <w:sz w:val="19"/>
          <w:szCs w:val="19"/>
        </w:rPr>
        <w:t>Para l</w:t>
      </w:r>
      <w:r w:rsidR="00912A85" w:rsidRPr="007861DC">
        <w:rPr>
          <w:rFonts w:ascii="Times New Roman" w:hAnsi="Times New Roman" w:cs="Times New Roman"/>
          <w:sz w:val="19"/>
          <w:szCs w:val="19"/>
        </w:rPr>
        <w:t>a Organización de las Naciones Unidas para la Educación, Ciencia y Cultura [</w:t>
      </w:r>
      <w:r w:rsidR="00004917" w:rsidRPr="007861DC">
        <w:rPr>
          <w:rFonts w:ascii="Times New Roman" w:hAnsi="Times New Roman" w:cs="Times New Roman"/>
          <w:sz w:val="19"/>
          <w:szCs w:val="19"/>
        </w:rPr>
        <w:t>UNESCO</w:t>
      </w:r>
      <w:r w:rsidR="00912A85" w:rsidRPr="007861DC">
        <w:rPr>
          <w:rFonts w:ascii="Times New Roman" w:hAnsi="Times New Roman" w:cs="Times New Roman"/>
          <w:sz w:val="19"/>
          <w:szCs w:val="19"/>
        </w:rPr>
        <w:t>]</w:t>
      </w:r>
      <w:r w:rsidR="00A544DB" w:rsidRPr="007861DC">
        <w:rPr>
          <w:rFonts w:ascii="Times New Roman" w:hAnsi="Times New Roman" w:cs="Times New Roman"/>
          <w:sz w:val="19"/>
          <w:szCs w:val="19"/>
        </w:rPr>
        <w:t xml:space="preserve"> </w:t>
      </w:r>
      <w:r w:rsidRPr="007861DC">
        <w:rPr>
          <w:rFonts w:ascii="Times New Roman" w:hAnsi="Times New Roman" w:cs="Times New Roman"/>
          <w:sz w:val="19"/>
          <w:szCs w:val="19"/>
        </w:rPr>
        <w:t>(1984), el</w:t>
      </w:r>
      <w:r w:rsidR="007A7A93" w:rsidRPr="007861DC">
        <w:rPr>
          <w:rFonts w:ascii="Times New Roman" w:hAnsi="Times New Roman" w:cs="Times New Roman"/>
          <w:sz w:val="19"/>
          <w:szCs w:val="19"/>
        </w:rPr>
        <w:t xml:space="preserve"> servicio social universitario está </w:t>
      </w:r>
      <w:r w:rsidR="00562B15" w:rsidRPr="007861DC">
        <w:rPr>
          <w:rFonts w:ascii="Times New Roman" w:hAnsi="Times New Roman" w:cs="Times New Roman"/>
          <w:sz w:val="19"/>
          <w:szCs w:val="19"/>
        </w:rPr>
        <w:t>vinculado</w:t>
      </w:r>
      <w:r w:rsidR="007A7A93" w:rsidRPr="007861DC">
        <w:rPr>
          <w:rFonts w:ascii="Times New Roman" w:hAnsi="Times New Roman" w:cs="Times New Roman"/>
          <w:sz w:val="19"/>
          <w:szCs w:val="19"/>
        </w:rPr>
        <w:t xml:space="preserve"> al esfuerzo </w:t>
      </w:r>
      <w:r w:rsidR="00C03608" w:rsidRPr="007861DC">
        <w:rPr>
          <w:rFonts w:ascii="Times New Roman" w:hAnsi="Times New Roman" w:cs="Times New Roman"/>
          <w:sz w:val="19"/>
          <w:szCs w:val="19"/>
        </w:rPr>
        <w:t>conjunto de</w:t>
      </w:r>
      <w:r w:rsidR="007A7A93" w:rsidRPr="007861DC">
        <w:rPr>
          <w:rFonts w:ascii="Times New Roman" w:hAnsi="Times New Roman" w:cs="Times New Roman"/>
          <w:sz w:val="19"/>
          <w:szCs w:val="19"/>
        </w:rPr>
        <w:t xml:space="preserve"> los estudiantes </w:t>
      </w:r>
      <w:r w:rsidR="00562B15" w:rsidRPr="007861DC">
        <w:rPr>
          <w:rFonts w:ascii="Times New Roman" w:hAnsi="Times New Roman" w:cs="Times New Roman"/>
          <w:sz w:val="19"/>
          <w:szCs w:val="19"/>
        </w:rPr>
        <w:t>participantes</w:t>
      </w:r>
      <w:r w:rsidRPr="007861DC">
        <w:rPr>
          <w:rFonts w:ascii="Times New Roman" w:hAnsi="Times New Roman" w:cs="Times New Roman"/>
          <w:sz w:val="19"/>
          <w:szCs w:val="19"/>
        </w:rPr>
        <w:t xml:space="preserve"> en</w:t>
      </w:r>
      <w:r w:rsidR="007A7A93" w:rsidRPr="007861DC">
        <w:rPr>
          <w:rFonts w:ascii="Times New Roman" w:hAnsi="Times New Roman" w:cs="Times New Roman"/>
          <w:sz w:val="19"/>
          <w:szCs w:val="19"/>
        </w:rPr>
        <w:t xml:space="preserve"> las </w:t>
      </w:r>
      <w:r w:rsidR="0086705D" w:rsidRPr="007861DC">
        <w:rPr>
          <w:rFonts w:ascii="Times New Roman" w:hAnsi="Times New Roman" w:cs="Times New Roman"/>
          <w:sz w:val="19"/>
          <w:szCs w:val="19"/>
        </w:rPr>
        <w:t>IES</w:t>
      </w:r>
      <w:r w:rsidR="00431B72" w:rsidRPr="007861DC">
        <w:rPr>
          <w:rFonts w:ascii="Times New Roman" w:hAnsi="Times New Roman" w:cs="Times New Roman"/>
          <w:sz w:val="19"/>
          <w:szCs w:val="19"/>
        </w:rPr>
        <w:t>,</w:t>
      </w:r>
      <w:r w:rsidR="0086705D" w:rsidRPr="007861DC">
        <w:rPr>
          <w:rFonts w:ascii="Times New Roman" w:hAnsi="Times New Roman" w:cs="Times New Roman"/>
          <w:sz w:val="19"/>
          <w:szCs w:val="19"/>
        </w:rPr>
        <w:t xml:space="preserve"> </w:t>
      </w:r>
      <w:r w:rsidR="007A7A93" w:rsidRPr="007861DC">
        <w:rPr>
          <w:rFonts w:ascii="Times New Roman" w:hAnsi="Times New Roman" w:cs="Times New Roman"/>
          <w:sz w:val="19"/>
          <w:szCs w:val="19"/>
        </w:rPr>
        <w:t xml:space="preserve">en general, </w:t>
      </w:r>
      <w:r w:rsidR="00C03608" w:rsidRPr="007861DC">
        <w:rPr>
          <w:rFonts w:ascii="Times New Roman" w:hAnsi="Times New Roman" w:cs="Times New Roman"/>
          <w:sz w:val="19"/>
          <w:szCs w:val="19"/>
        </w:rPr>
        <w:t>con</w:t>
      </w:r>
      <w:r w:rsidR="007A7A93" w:rsidRPr="007861DC">
        <w:rPr>
          <w:rFonts w:ascii="Times New Roman" w:hAnsi="Times New Roman" w:cs="Times New Roman"/>
          <w:sz w:val="19"/>
          <w:szCs w:val="19"/>
        </w:rPr>
        <w:t xml:space="preserve"> el progreso de la nación, y </w:t>
      </w:r>
      <w:r w:rsidRPr="007861DC">
        <w:rPr>
          <w:rFonts w:ascii="Times New Roman" w:hAnsi="Times New Roman" w:cs="Times New Roman"/>
          <w:sz w:val="19"/>
          <w:szCs w:val="19"/>
        </w:rPr>
        <w:t>sobre todo</w:t>
      </w:r>
      <w:r w:rsidR="00C03608" w:rsidRPr="007861DC">
        <w:rPr>
          <w:rFonts w:ascii="Times New Roman" w:hAnsi="Times New Roman" w:cs="Times New Roman"/>
          <w:sz w:val="19"/>
          <w:szCs w:val="19"/>
        </w:rPr>
        <w:t>,</w:t>
      </w:r>
      <w:r w:rsidRPr="007861DC">
        <w:rPr>
          <w:rFonts w:ascii="Times New Roman" w:hAnsi="Times New Roman" w:cs="Times New Roman"/>
          <w:sz w:val="19"/>
          <w:szCs w:val="19"/>
        </w:rPr>
        <w:t xml:space="preserve"> para </w:t>
      </w:r>
      <w:r w:rsidR="00562B15" w:rsidRPr="007861DC">
        <w:rPr>
          <w:rFonts w:ascii="Times New Roman" w:hAnsi="Times New Roman" w:cs="Times New Roman"/>
          <w:sz w:val="19"/>
          <w:szCs w:val="19"/>
        </w:rPr>
        <w:t>comprobar</w:t>
      </w:r>
      <w:r w:rsidR="007A7A93" w:rsidRPr="007861DC">
        <w:rPr>
          <w:rFonts w:ascii="Times New Roman" w:hAnsi="Times New Roman" w:cs="Times New Roman"/>
          <w:sz w:val="19"/>
          <w:szCs w:val="19"/>
        </w:rPr>
        <w:t xml:space="preserve"> la teoría </w:t>
      </w:r>
      <w:r w:rsidR="00562B15" w:rsidRPr="007861DC">
        <w:rPr>
          <w:rFonts w:ascii="Times New Roman" w:hAnsi="Times New Roman" w:cs="Times New Roman"/>
          <w:sz w:val="19"/>
          <w:szCs w:val="19"/>
        </w:rPr>
        <w:t xml:space="preserve">vista en las aulas </w:t>
      </w:r>
      <w:r w:rsidR="007A7A93" w:rsidRPr="007861DC">
        <w:rPr>
          <w:rFonts w:ascii="Times New Roman" w:hAnsi="Times New Roman" w:cs="Times New Roman"/>
          <w:sz w:val="19"/>
          <w:szCs w:val="19"/>
        </w:rPr>
        <w:t>con la práctica</w:t>
      </w:r>
      <w:r w:rsidR="00562B15" w:rsidRPr="007861DC">
        <w:rPr>
          <w:rFonts w:ascii="Times New Roman" w:hAnsi="Times New Roman" w:cs="Times New Roman"/>
          <w:sz w:val="19"/>
          <w:szCs w:val="19"/>
        </w:rPr>
        <w:t xml:space="preserve"> </w:t>
      </w:r>
      <w:r w:rsidR="00562B15" w:rsidRPr="007861DC">
        <w:rPr>
          <w:rFonts w:ascii="Times New Roman" w:hAnsi="Times New Roman" w:cs="Times New Roman"/>
          <w:sz w:val="19"/>
          <w:szCs w:val="19"/>
        </w:rPr>
        <w:lastRenderedPageBreak/>
        <w:t>vivencial</w:t>
      </w:r>
      <w:r w:rsidR="007A7A93"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004917" w:rsidRPr="007861DC">
        <w:rPr>
          <w:rFonts w:ascii="Times New Roman" w:hAnsi="Times New Roman" w:cs="Times New Roman"/>
          <w:sz w:val="19"/>
          <w:szCs w:val="19"/>
        </w:rPr>
        <w:t xml:space="preserve">El servicio Social Comunitario </w:t>
      </w:r>
      <w:r w:rsidRPr="007861DC">
        <w:rPr>
          <w:rFonts w:ascii="Times New Roman" w:hAnsi="Times New Roman" w:cs="Times New Roman"/>
          <w:sz w:val="19"/>
          <w:szCs w:val="19"/>
        </w:rPr>
        <w:t xml:space="preserve">se </w:t>
      </w:r>
      <w:r w:rsidR="00431B72" w:rsidRPr="007861DC">
        <w:rPr>
          <w:rFonts w:ascii="Times New Roman" w:hAnsi="Times New Roman" w:cs="Times New Roman"/>
          <w:sz w:val="19"/>
          <w:szCs w:val="19"/>
        </w:rPr>
        <w:t>respalda en</w:t>
      </w:r>
      <w:r w:rsidR="00004917" w:rsidRPr="007861DC">
        <w:rPr>
          <w:rFonts w:ascii="Times New Roman" w:hAnsi="Times New Roman" w:cs="Times New Roman"/>
          <w:sz w:val="19"/>
          <w:szCs w:val="19"/>
        </w:rPr>
        <w:t xml:space="preserve"> </w:t>
      </w:r>
      <w:r w:rsidR="00562B15" w:rsidRPr="007861DC">
        <w:rPr>
          <w:rFonts w:ascii="Times New Roman" w:hAnsi="Times New Roman" w:cs="Times New Roman"/>
          <w:sz w:val="19"/>
          <w:szCs w:val="19"/>
        </w:rPr>
        <w:t>el</w:t>
      </w:r>
      <w:r w:rsidR="00723BFF" w:rsidRPr="007861DC">
        <w:rPr>
          <w:rFonts w:ascii="Times New Roman" w:hAnsi="Times New Roman" w:cs="Times New Roman"/>
          <w:sz w:val="19"/>
          <w:szCs w:val="19"/>
        </w:rPr>
        <w:t xml:space="preserve"> </w:t>
      </w:r>
      <w:r w:rsidR="00562B15" w:rsidRPr="007861DC">
        <w:rPr>
          <w:rFonts w:ascii="Times New Roman" w:hAnsi="Times New Roman" w:cs="Times New Roman"/>
          <w:sz w:val="19"/>
          <w:szCs w:val="19"/>
        </w:rPr>
        <w:t>propósito</w:t>
      </w:r>
      <w:r w:rsidRPr="007861DC">
        <w:rPr>
          <w:rFonts w:ascii="Times New Roman" w:hAnsi="Times New Roman" w:cs="Times New Roman"/>
          <w:sz w:val="19"/>
          <w:szCs w:val="19"/>
        </w:rPr>
        <w:t xml:space="preserve"> de</w:t>
      </w:r>
      <w:r w:rsidR="00723BFF" w:rsidRPr="007861DC">
        <w:rPr>
          <w:rFonts w:ascii="Times New Roman" w:hAnsi="Times New Roman" w:cs="Times New Roman"/>
          <w:sz w:val="19"/>
          <w:szCs w:val="19"/>
        </w:rPr>
        <w:t xml:space="preserve"> </w:t>
      </w:r>
      <w:r w:rsidR="00562B15" w:rsidRPr="007861DC">
        <w:rPr>
          <w:rFonts w:ascii="Times New Roman" w:hAnsi="Times New Roman" w:cs="Times New Roman"/>
          <w:sz w:val="19"/>
          <w:szCs w:val="19"/>
        </w:rPr>
        <w:t xml:space="preserve">fomentar la </w:t>
      </w:r>
      <w:r w:rsidR="00004917" w:rsidRPr="007861DC">
        <w:rPr>
          <w:rFonts w:ascii="Times New Roman" w:hAnsi="Times New Roman" w:cs="Times New Roman"/>
          <w:sz w:val="19"/>
          <w:szCs w:val="19"/>
        </w:rPr>
        <w:t>superación profesional en los universitarios</w:t>
      </w:r>
      <w:r w:rsidR="00431B72" w:rsidRPr="007861DC">
        <w:rPr>
          <w:rFonts w:ascii="Times New Roman" w:hAnsi="Times New Roman" w:cs="Times New Roman"/>
          <w:sz w:val="19"/>
          <w:szCs w:val="19"/>
        </w:rPr>
        <w:t xml:space="preserve"> </w:t>
      </w:r>
      <w:r w:rsidR="00562B15" w:rsidRPr="007861DC">
        <w:rPr>
          <w:rFonts w:ascii="Times New Roman" w:hAnsi="Times New Roman" w:cs="Times New Roman"/>
          <w:sz w:val="19"/>
          <w:szCs w:val="19"/>
        </w:rPr>
        <w:t>que</w:t>
      </w:r>
      <w:r w:rsidR="00004917" w:rsidRPr="007861DC">
        <w:rPr>
          <w:rFonts w:ascii="Times New Roman" w:hAnsi="Times New Roman" w:cs="Times New Roman"/>
          <w:sz w:val="19"/>
          <w:szCs w:val="19"/>
        </w:rPr>
        <w:t xml:space="preserve"> tienen la oportunidad de generar conocimiento</w:t>
      </w:r>
      <w:r w:rsidR="00C03608" w:rsidRPr="007861DC">
        <w:rPr>
          <w:rFonts w:ascii="Times New Roman" w:hAnsi="Times New Roman" w:cs="Times New Roman"/>
          <w:sz w:val="19"/>
          <w:szCs w:val="19"/>
        </w:rPr>
        <w:t>s</w:t>
      </w:r>
      <w:r w:rsidR="00004917" w:rsidRPr="007861DC">
        <w:rPr>
          <w:rFonts w:ascii="Times New Roman" w:hAnsi="Times New Roman" w:cs="Times New Roman"/>
          <w:sz w:val="19"/>
          <w:szCs w:val="19"/>
        </w:rPr>
        <w:t xml:space="preserve"> a través del apre</w:t>
      </w:r>
      <w:r w:rsidR="00C03608" w:rsidRPr="007861DC">
        <w:rPr>
          <w:rFonts w:ascii="Times New Roman" w:hAnsi="Times New Roman" w:cs="Times New Roman"/>
          <w:sz w:val="19"/>
          <w:szCs w:val="19"/>
        </w:rPr>
        <w:t>ndizaje</w:t>
      </w:r>
      <w:r w:rsidRPr="007861DC">
        <w:rPr>
          <w:rFonts w:ascii="Times New Roman" w:hAnsi="Times New Roman" w:cs="Times New Roman"/>
          <w:sz w:val="19"/>
          <w:szCs w:val="19"/>
        </w:rPr>
        <w:t xml:space="preserve">, </w:t>
      </w:r>
      <w:r w:rsidR="00004917" w:rsidRPr="007861DC">
        <w:rPr>
          <w:rFonts w:ascii="Times New Roman" w:hAnsi="Times New Roman" w:cs="Times New Roman"/>
          <w:sz w:val="19"/>
          <w:szCs w:val="19"/>
        </w:rPr>
        <w:t xml:space="preserve">lo que </w:t>
      </w:r>
      <w:r w:rsidR="00C03608" w:rsidRPr="007861DC">
        <w:rPr>
          <w:rFonts w:ascii="Times New Roman" w:hAnsi="Times New Roman" w:cs="Times New Roman"/>
          <w:sz w:val="19"/>
          <w:szCs w:val="19"/>
        </w:rPr>
        <w:t xml:space="preserve">les </w:t>
      </w:r>
      <w:r w:rsidR="00004917" w:rsidRPr="007861DC">
        <w:rPr>
          <w:rFonts w:ascii="Times New Roman" w:hAnsi="Times New Roman" w:cs="Times New Roman"/>
          <w:sz w:val="19"/>
          <w:szCs w:val="19"/>
        </w:rPr>
        <w:t xml:space="preserve">permite adaptarse mejor </w:t>
      </w:r>
      <w:r w:rsidR="00C03608" w:rsidRPr="007861DC">
        <w:rPr>
          <w:rFonts w:ascii="Times New Roman" w:hAnsi="Times New Roman" w:cs="Times New Roman"/>
          <w:sz w:val="19"/>
          <w:szCs w:val="19"/>
        </w:rPr>
        <w:t>a un</w:t>
      </w:r>
      <w:r w:rsidR="00004917" w:rsidRPr="007861DC">
        <w:rPr>
          <w:rFonts w:ascii="Times New Roman" w:hAnsi="Times New Roman" w:cs="Times New Roman"/>
          <w:sz w:val="19"/>
          <w:szCs w:val="19"/>
        </w:rPr>
        <w:t xml:space="preserve"> mercado laboral que </w:t>
      </w:r>
      <w:r w:rsidR="00F01F8C" w:rsidRPr="007861DC">
        <w:rPr>
          <w:rFonts w:ascii="Times New Roman" w:hAnsi="Times New Roman" w:cs="Times New Roman"/>
          <w:sz w:val="19"/>
          <w:szCs w:val="19"/>
        </w:rPr>
        <w:t>día</w:t>
      </w:r>
      <w:r w:rsidR="00004917" w:rsidRPr="007861DC">
        <w:rPr>
          <w:rFonts w:ascii="Times New Roman" w:hAnsi="Times New Roman" w:cs="Times New Roman"/>
          <w:sz w:val="19"/>
          <w:szCs w:val="19"/>
        </w:rPr>
        <w:t xml:space="preserve"> con </w:t>
      </w:r>
      <w:r w:rsidR="00F01F8C" w:rsidRPr="007861DC">
        <w:rPr>
          <w:rFonts w:ascii="Times New Roman" w:hAnsi="Times New Roman" w:cs="Times New Roman"/>
          <w:sz w:val="19"/>
          <w:szCs w:val="19"/>
        </w:rPr>
        <w:t>día</w:t>
      </w:r>
      <w:r w:rsidR="00004917" w:rsidRPr="007861DC">
        <w:rPr>
          <w:rFonts w:ascii="Times New Roman" w:hAnsi="Times New Roman" w:cs="Times New Roman"/>
          <w:sz w:val="19"/>
          <w:szCs w:val="19"/>
        </w:rPr>
        <w:t xml:space="preserve"> es más competitivo.</w:t>
      </w:r>
      <w:r w:rsidRPr="007861DC">
        <w:rPr>
          <w:rFonts w:ascii="Times New Roman" w:hAnsi="Times New Roman" w:cs="Times New Roman"/>
          <w:sz w:val="19"/>
          <w:szCs w:val="19"/>
        </w:rPr>
        <w:t xml:space="preserve"> Así mismo esta institución </w:t>
      </w:r>
      <w:r w:rsidR="00562B15" w:rsidRPr="007861DC">
        <w:rPr>
          <w:rFonts w:ascii="Times New Roman" w:hAnsi="Times New Roman" w:cs="Times New Roman"/>
          <w:sz w:val="19"/>
          <w:szCs w:val="19"/>
        </w:rPr>
        <w:t>expande</w:t>
      </w:r>
      <w:r w:rsidR="007A7A93" w:rsidRPr="007861DC">
        <w:rPr>
          <w:rFonts w:ascii="Times New Roman" w:hAnsi="Times New Roman" w:cs="Times New Roman"/>
          <w:sz w:val="19"/>
          <w:szCs w:val="19"/>
        </w:rPr>
        <w:t xml:space="preserve"> las actividades del servicio social universitario</w:t>
      </w:r>
      <w:r w:rsidR="00562B15" w:rsidRPr="007861DC">
        <w:rPr>
          <w:rFonts w:ascii="Times New Roman" w:hAnsi="Times New Roman" w:cs="Times New Roman"/>
          <w:sz w:val="19"/>
          <w:szCs w:val="19"/>
        </w:rPr>
        <w:t xml:space="preserve"> para</w:t>
      </w:r>
      <w:r w:rsidR="00723BFF" w:rsidRPr="007861DC">
        <w:rPr>
          <w:rFonts w:ascii="Times New Roman" w:hAnsi="Times New Roman" w:cs="Times New Roman"/>
          <w:sz w:val="19"/>
          <w:szCs w:val="19"/>
        </w:rPr>
        <w:t xml:space="preserve"> </w:t>
      </w:r>
      <w:r w:rsidR="00562B15" w:rsidRPr="007861DC">
        <w:rPr>
          <w:rFonts w:ascii="Times New Roman" w:hAnsi="Times New Roman" w:cs="Times New Roman"/>
          <w:sz w:val="19"/>
          <w:szCs w:val="19"/>
        </w:rPr>
        <w:t xml:space="preserve">apoyar </w:t>
      </w:r>
      <w:r w:rsidR="007A7A93" w:rsidRPr="007861DC">
        <w:rPr>
          <w:rFonts w:ascii="Times New Roman" w:hAnsi="Times New Roman" w:cs="Times New Roman"/>
          <w:sz w:val="19"/>
          <w:szCs w:val="19"/>
        </w:rPr>
        <w:t xml:space="preserve"> la relación educación-trabajo</w:t>
      </w:r>
      <w:r w:rsidR="00562B15" w:rsidRPr="007861DC">
        <w:rPr>
          <w:rFonts w:ascii="Times New Roman" w:hAnsi="Times New Roman" w:cs="Times New Roman"/>
          <w:sz w:val="19"/>
          <w:szCs w:val="19"/>
        </w:rPr>
        <w:t>.</w:t>
      </w:r>
    </w:p>
    <w:p w:rsidR="00F01F8C" w:rsidRPr="00623909" w:rsidRDefault="00F01F8C" w:rsidP="00004917">
      <w:pPr>
        <w:spacing w:line="276" w:lineRule="auto"/>
        <w:jc w:val="both"/>
        <w:rPr>
          <w:rFonts w:ascii="Times New Roman" w:hAnsi="Times New Roman" w:cs="Times New Roman"/>
          <w:b/>
          <w:sz w:val="24"/>
          <w:szCs w:val="19"/>
        </w:rPr>
      </w:pPr>
      <w:r w:rsidRPr="007861DC">
        <w:rPr>
          <w:rFonts w:ascii="Times New Roman" w:hAnsi="Times New Roman" w:cs="Times New Roman"/>
          <w:b/>
          <w:sz w:val="24"/>
          <w:szCs w:val="19"/>
        </w:rPr>
        <w:t xml:space="preserve">Educación </w:t>
      </w:r>
      <w:r w:rsidR="001E3171" w:rsidRPr="007861DC">
        <w:rPr>
          <w:rFonts w:ascii="Times New Roman" w:hAnsi="Times New Roman" w:cs="Times New Roman"/>
          <w:b/>
          <w:sz w:val="24"/>
          <w:szCs w:val="19"/>
        </w:rPr>
        <w:t>con sentido humano</w:t>
      </w:r>
    </w:p>
    <w:p w:rsidR="005E68A9" w:rsidRPr="00C37F15" w:rsidRDefault="00F01F8C" w:rsidP="00EB0FBE">
      <w:pPr>
        <w:spacing w:line="276" w:lineRule="auto"/>
        <w:jc w:val="both"/>
        <w:rPr>
          <w:rFonts w:ascii="Times New Roman" w:hAnsi="Times New Roman" w:cs="Times New Roman"/>
          <w:sz w:val="19"/>
          <w:szCs w:val="19"/>
        </w:rPr>
      </w:pPr>
      <w:r w:rsidRPr="00C37F15">
        <w:rPr>
          <w:rFonts w:ascii="Times New Roman" w:hAnsi="Times New Roman" w:cs="Times New Roman"/>
          <w:sz w:val="19"/>
          <w:szCs w:val="19"/>
        </w:rPr>
        <w:t xml:space="preserve">Cano (2004) </w:t>
      </w:r>
      <w:r w:rsidR="0086705D" w:rsidRPr="00C37F15">
        <w:rPr>
          <w:rFonts w:ascii="Times New Roman" w:hAnsi="Times New Roman" w:cs="Times New Roman"/>
          <w:sz w:val="19"/>
          <w:szCs w:val="19"/>
        </w:rPr>
        <w:t>explica</w:t>
      </w:r>
      <w:r w:rsidR="000204B0" w:rsidRPr="00C37F15">
        <w:rPr>
          <w:rFonts w:ascii="Times New Roman" w:hAnsi="Times New Roman" w:cs="Times New Roman"/>
          <w:sz w:val="19"/>
          <w:szCs w:val="19"/>
        </w:rPr>
        <w:t xml:space="preserve"> que</w:t>
      </w:r>
      <w:r w:rsidRPr="00C37F15">
        <w:rPr>
          <w:rFonts w:ascii="Times New Roman" w:hAnsi="Times New Roman" w:cs="Times New Roman"/>
          <w:sz w:val="19"/>
          <w:szCs w:val="19"/>
        </w:rPr>
        <w:t xml:space="preserve"> la educación es un proce</w:t>
      </w:r>
      <w:r w:rsidR="00421F50">
        <w:rPr>
          <w:rFonts w:ascii="Times New Roman" w:hAnsi="Times New Roman" w:cs="Times New Roman"/>
          <w:sz w:val="19"/>
          <w:szCs w:val="19"/>
        </w:rPr>
        <w:t xml:space="preserve">so de vida y </w:t>
      </w:r>
      <w:r w:rsidR="000204B0" w:rsidRPr="00C37F15">
        <w:rPr>
          <w:rFonts w:ascii="Times New Roman" w:hAnsi="Times New Roman" w:cs="Times New Roman"/>
          <w:sz w:val="19"/>
          <w:szCs w:val="19"/>
        </w:rPr>
        <w:t xml:space="preserve">desarrollo, </w:t>
      </w:r>
      <w:r w:rsidRPr="00C37F15">
        <w:rPr>
          <w:rFonts w:ascii="Times New Roman" w:hAnsi="Times New Roman" w:cs="Times New Roman"/>
          <w:sz w:val="19"/>
          <w:szCs w:val="19"/>
        </w:rPr>
        <w:t>pero la forma como ésta se recibe o se imparte</w:t>
      </w:r>
      <w:r w:rsidR="00E37123">
        <w:rPr>
          <w:rFonts w:ascii="Times New Roman" w:hAnsi="Times New Roman" w:cs="Times New Roman"/>
          <w:sz w:val="19"/>
          <w:szCs w:val="19"/>
        </w:rPr>
        <w:t>,</w:t>
      </w:r>
      <w:r w:rsidRPr="00C37F15">
        <w:rPr>
          <w:rFonts w:ascii="Times New Roman" w:hAnsi="Times New Roman" w:cs="Times New Roman"/>
          <w:sz w:val="19"/>
          <w:szCs w:val="19"/>
        </w:rPr>
        <w:t xml:space="preserve"> es lo que hace que cambie tanto la visión como los resultados de la misma. La educación humanista </w:t>
      </w:r>
      <w:r w:rsidR="000204B0" w:rsidRPr="00C37F15">
        <w:rPr>
          <w:rFonts w:ascii="Times New Roman" w:hAnsi="Times New Roman" w:cs="Times New Roman"/>
          <w:sz w:val="19"/>
          <w:szCs w:val="19"/>
        </w:rPr>
        <w:t>radica</w:t>
      </w:r>
      <w:r w:rsidR="00723BFF" w:rsidRPr="00C37F15">
        <w:rPr>
          <w:rFonts w:ascii="Times New Roman" w:hAnsi="Times New Roman" w:cs="Times New Roman"/>
          <w:sz w:val="19"/>
          <w:szCs w:val="19"/>
        </w:rPr>
        <w:t xml:space="preserve"> </w:t>
      </w:r>
      <w:r w:rsidR="000204B0" w:rsidRPr="00C37F15">
        <w:rPr>
          <w:rFonts w:ascii="Times New Roman" w:hAnsi="Times New Roman" w:cs="Times New Roman"/>
          <w:sz w:val="19"/>
          <w:szCs w:val="19"/>
        </w:rPr>
        <w:t xml:space="preserve">en el desarrollo de </w:t>
      </w:r>
      <w:r w:rsidRPr="00C37F15">
        <w:rPr>
          <w:rFonts w:ascii="Times New Roman" w:hAnsi="Times New Roman" w:cs="Times New Roman"/>
          <w:sz w:val="19"/>
          <w:szCs w:val="19"/>
        </w:rPr>
        <w:t>las facultades del ser humano</w:t>
      </w:r>
      <w:r w:rsidR="000204B0" w:rsidRPr="00C37F15">
        <w:rPr>
          <w:rFonts w:ascii="Times New Roman" w:hAnsi="Times New Roman" w:cs="Times New Roman"/>
          <w:sz w:val="19"/>
          <w:szCs w:val="19"/>
        </w:rPr>
        <w:t xml:space="preserve">, </w:t>
      </w:r>
      <w:r w:rsidR="00C03608" w:rsidRPr="00C37F15">
        <w:rPr>
          <w:rFonts w:ascii="Times New Roman" w:hAnsi="Times New Roman" w:cs="Times New Roman"/>
          <w:sz w:val="19"/>
          <w:szCs w:val="19"/>
        </w:rPr>
        <w:t>centrándose en el hombre</w:t>
      </w:r>
      <w:r w:rsidRPr="00C37F15">
        <w:rPr>
          <w:rFonts w:ascii="Times New Roman" w:hAnsi="Times New Roman" w:cs="Times New Roman"/>
          <w:sz w:val="19"/>
          <w:szCs w:val="19"/>
        </w:rPr>
        <w:t xml:space="preserve"> e</w:t>
      </w:r>
      <w:r w:rsidR="000204B0" w:rsidRPr="00C37F15">
        <w:rPr>
          <w:rFonts w:ascii="Times New Roman" w:hAnsi="Times New Roman" w:cs="Times New Roman"/>
          <w:sz w:val="19"/>
          <w:szCs w:val="19"/>
        </w:rPr>
        <w:t xml:space="preserve">n su contexto, </w:t>
      </w:r>
      <w:r w:rsidR="00B92E95" w:rsidRPr="00C37F15">
        <w:rPr>
          <w:rFonts w:ascii="Times New Roman" w:hAnsi="Times New Roman" w:cs="Times New Roman"/>
          <w:sz w:val="19"/>
          <w:szCs w:val="19"/>
        </w:rPr>
        <w:t>permitiendo la mejora</w:t>
      </w:r>
      <w:r w:rsidR="00723BFF" w:rsidRPr="00C37F15">
        <w:rPr>
          <w:rFonts w:ascii="Times New Roman" w:hAnsi="Times New Roman" w:cs="Times New Roman"/>
          <w:sz w:val="19"/>
          <w:szCs w:val="19"/>
        </w:rPr>
        <w:t xml:space="preserve"> </w:t>
      </w:r>
      <w:r w:rsidR="00B92E95" w:rsidRPr="00C37F15">
        <w:rPr>
          <w:rFonts w:ascii="Times New Roman" w:hAnsi="Times New Roman" w:cs="Times New Roman"/>
          <w:sz w:val="19"/>
          <w:szCs w:val="19"/>
        </w:rPr>
        <w:t xml:space="preserve">continua de </w:t>
      </w:r>
      <w:r w:rsidRPr="00C37F15">
        <w:rPr>
          <w:rFonts w:ascii="Times New Roman" w:hAnsi="Times New Roman" w:cs="Times New Roman"/>
          <w:sz w:val="19"/>
          <w:szCs w:val="19"/>
        </w:rPr>
        <w:t xml:space="preserve">habilidades de pensamiento y afectividad; </w:t>
      </w:r>
      <w:r w:rsidR="000204B0" w:rsidRPr="00C37F15">
        <w:rPr>
          <w:rFonts w:ascii="Times New Roman" w:hAnsi="Times New Roman" w:cs="Times New Roman"/>
          <w:sz w:val="19"/>
          <w:szCs w:val="19"/>
        </w:rPr>
        <w:t>educando para la vida desde la vida</w:t>
      </w:r>
      <w:r w:rsidRPr="00C37F15">
        <w:rPr>
          <w:rFonts w:ascii="Times New Roman" w:hAnsi="Times New Roman" w:cs="Times New Roman"/>
          <w:sz w:val="19"/>
          <w:szCs w:val="19"/>
        </w:rPr>
        <w:t>,</w:t>
      </w:r>
      <w:r w:rsidR="00C03608" w:rsidRPr="00C37F15">
        <w:rPr>
          <w:rFonts w:ascii="Times New Roman" w:hAnsi="Times New Roman" w:cs="Times New Roman"/>
          <w:sz w:val="19"/>
          <w:szCs w:val="19"/>
        </w:rPr>
        <w:t xml:space="preserve"> lo </w:t>
      </w:r>
      <w:r w:rsidR="00E37123">
        <w:rPr>
          <w:rFonts w:ascii="Times New Roman" w:hAnsi="Times New Roman" w:cs="Times New Roman"/>
          <w:sz w:val="19"/>
          <w:szCs w:val="19"/>
        </w:rPr>
        <w:t>cual</w:t>
      </w:r>
      <w:r w:rsidR="00C03608" w:rsidRPr="00C37F15">
        <w:rPr>
          <w:rFonts w:ascii="Times New Roman" w:hAnsi="Times New Roman" w:cs="Times New Roman"/>
          <w:sz w:val="19"/>
          <w:szCs w:val="19"/>
        </w:rPr>
        <w:t xml:space="preserve"> </w:t>
      </w:r>
      <w:r w:rsidRPr="00C37F15">
        <w:rPr>
          <w:rFonts w:ascii="Times New Roman" w:hAnsi="Times New Roman" w:cs="Times New Roman"/>
          <w:sz w:val="19"/>
          <w:szCs w:val="19"/>
        </w:rPr>
        <w:t>implica un compromiso e interacción</w:t>
      </w:r>
      <w:r w:rsidR="00E37123">
        <w:rPr>
          <w:rFonts w:ascii="Times New Roman" w:hAnsi="Times New Roman" w:cs="Times New Roman"/>
          <w:sz w:val="19"/>
          <w:szCs w:val="19"/>
        </w:rPr>
        <w:t xml:space="preserve"> de</w:t>
      </w:r>
      <w:r w:rsidRPr="00C37F15">
        <w:rPr>
          <w:rFonts w:ascii="Times New Roman" w:hAnsi="Times New Roman" w:cs="Times New Roman"/>
          <w:sz w:val="19"/>
          <w:szCs w:val="19"/>
        </w:rPr>
        <w:t xml:space="preserve"> sociedad-comunidad-maestro-</w:t>
      </w:r>
      <w:r w:rsidR="00E37123">
        <w:rPr>
          <w:rFonts w:ascii="Times New Roman" w:hAnsi="Times New Roman" w:cs="Times New Roman"/>
          <w:sz w:val="19"/>
          <w:szCs w:val="19"/>
        </w:rPr>
        <w:t>estudiante</w:t>
      </w:r>
      <w:r w:rsidRPr="00C37F15">
        <w:rPr>
          <w:rFonts w:ascii="Times New Roman" w:hAnsi="Times New Roman" w:cs="Times New Roman"/>
          <w:sz w:val="19"/>
          <w:szCs w:val="19"/>
        </w:rPr>
        <w:t xml:space="preserve">. </w:t>
      </w:r>
      <w:r w:rsidR="00E37123">
        <w:rPr>
          <w:rFonts w:ascii="Times New Roman" w:hAnsi="Times New Roman" w:cs="Times New Roman"/>
          <w:sz w:val="19"/>
          <w:szCs w:val="19"/>
        </w:rPr>
        <w:t>El autor c</w:t>
      </w:r>
      <w:r w:rsidR="0086705D" w:rsidRPr="00C37F15">
        <w:rPr>
          <w:rFonts w:ascii="Times New Roman" w:hAnsi="Times New Roman" w:cs="Times New Roman"/>
          <w:sz w:val="19"/>
          <w:szCs w:val="19"/>
        </w:rPr>
        <w:t xml:space="preserve">onsidera </w:t>
      </w:r>
      <w:r w:rsidRPr="00C37F15">
        <w:rPr>
          <w:rFonts w:ascii="Times New Roman" w:hAnsi="Times New Roman" w:cs="Times New Roman"/>
          <w:sz w:val="19"/>
          <w:szCs w:val="19"/>
        </w:rPr>
        <w:t xml:space="preserve">el planteamiento de la educación como una </w:t>
      </w:r>
      <w:r w:rsidR="000204B0" w:rsidRPr="00C37F15">
        <w:rPr>
          <w:rFonts w:ascii="Times New Roman" w:hAnsi="Times New Roman" w:cs="Times New Roman"/>
          <w:sz w:val="19"/>
          <w:szCs w:val="19"/>
        </w:rPr>
        <w:t>capacidad</w:t>
      </w:r>
      <w:r w:rsidR="0086705D" w:rsidRPr="00C37F15">
        <w:rPr>
          <w:rFonts w:ascii="Times New Roman" w:hAnsi="Times New Roman" w:cs="Times New Roman"/>
          <w:sz w:val="19"/>
          <w:szCs w:val="19"/>
        </w:rPr>
        <w:t xml:space="preserve"> básica</w:t>
      </w:r>
      <w:r w:rsidRPr="00C37F15">
        <w:rPr>
          <w:rFonts w:ascii="Times New Roman" w:hAnsi="Times New Roman" w:cs="Times New Roman"/>
          <w:sz w:val="19"/>
          <w:szCs w:val="19"/>
        </w:rPr>
        <w:t xml:space="preserve"> del individuo, </w:t>
      </w:r>
      <w:r w:rsidR="000204B0" w:rsidRPr="00C37F15">
        <w:rPr>
          <w:rFonts w:ascii="Times New Roman" w:hAnsi="Times New Roman" w:cs="Times New Roman"/>
          <w:sz w:val="19"/>
          <w:szCs w:val="19"/>
        </w:rPr>
        <w:t xml:space="preserve">que no se </w:t>
      </w:r>
      <w:r w:rsidRPr="00C37F15">
        <w:rPr>
          <w:rFonts w:ascii="Times New Roman" w:hAnsi="Times New Roman" w:cs="Times New Roman"/>
          <w:sz w:val="19"/>
          <w:szCs w:val="19"/>
        </w:rPr>
        <w:t xml:space="preserve">contempla </w:t>
      </w:r>
      <w:r w:rsidR="000204B0" w:rsidRPr="00C37F15">
        <w:rPr>
          <w:rFonts w:ascii="Times New Roman" w:hAnsi="Times New Roman" w:cs="Times New Roman"/>
          <w:sz w:val="19"/>
          <w:szCs w:val="19"/>
        </w:rPr>
        <w:t xml:space="preserve"> en cantidad</w:t>
      </w:r>
      <w:r w:rsidRPr="00C37F15">
        <w:rPr>
          <w:rFonts w:ascii="Times New Roman" w:hAnsi="Times New Roman" w:cs="Times New Roman"/>
          <w:sz w:val="19"/>
          <w:szCs w:val="19"/>
        </w:rPr>
        <w:t xml:space="preserve">, sino </w:t>
      </w:r>
      <w:r w:rsidR="000204B0" w:rsidRPr="00C37F15">
        <w:rPr>
          <w:rFonts w:ascii="Times New Roman" w:hAnsi="Times New Roman" w:cs="Times New Roman"/>
          <w:sz w:val="19"/>
          <w:szCs w:val="19"/>
        </w:rPr>
        <w:t xml:space="preserve"> en cualidades y </w:t>
      </w:r>
      <w:r w:rsidRPr="00C37F15">
        <w:rPr>
          <w:rFonts w:ascii="Times New Roman" w:hAnsi="Times New Roman" w:cs="Times New Roman"/>
          <w:sz w:val="19"/>
          <w:szCs w:val="19"/>
        </w:rPr>
        <w:t xml:space="preserve"> características </w:t>
      </w:r>
      <w:r w:rsidR="000204B0" w:rsidRPr="00C37F15">
        <w:rPr>
          <w:rFonts w:ascii="Times New Roman" w:hAnsi="Times New Roman" w:cs="Times New Roman"/>
          <w:sz w:val="19"/>
          <w:szCs w:val="19"/>
        </w:rPr>
        <w:t>de</w:t>
      </w:r>
      <w:r w:rsidRPr="00C37F15">
        <w:rPr>
          <w:rFonts w:ascii="Times New Roman" w:hAnsi="Times New Roman" w:cs="Times New Roman"/>
          <w:sz w:val="19"/>
          <w:szCs w:val="19"/>
        </w:rPr>
        <w:t xml:space="preserve"> la persona. </w:t>
      </w:r>
      <w:r w:rsidR="000204B0" w:rsidRPr="00C37F15">
        <w:rPr>
          <w:rFonts w:ascii="Times New Roman" w:hAnsi="Times New Roman" w:cs="Times New Roman"/>
          <w:sz w:val="19"/>
          <w:szCs w:val="19"/>
        </w:rPr>
        <w:t>Es por eso, que</w:t>
      </w:r>
      <w:r w:rsidRPr="00C37F15">
        <w:rPr>
          <w:rFonts w:ascii="Times New Roman" w:hAnsi="Times New Roman" w:cs="Times New Roman"/>
          <w:sz w:val="19"/>
          <w:szCs w:val="19"/>
        </w:rPr>
        <w:t xml:space="preserve"> la educación tiene como meta el desarrollo de las capacidades analíticas y creativas que el grado escolar requiere.</w:t>
      </w:r>
    </w:p>
    <w:p w:rsidR="00013D02" w:rsidRPr="00623909" w:rsidRDefault="00013D02" w:rsidP="00004917">
      <w:pPr>
        <w:spacing w:line="276" w:lineRule="auto"/>
        <w:jc w:val="both"/>
        <w:rPr>
          <w:rFonts w:ascii="Times New Roman" w:hAnsi="Times New Roman" w:cs="Times New Roman"/>
          <w:b/>
          <w:sz w:val="24"/>
          <w:szCs w:val="24"/>
        </w:rPr>
      </w:pPr>
      <w:r w:rsidRPr="00623909">
        <w:rPr>
          <w:rFonts w:ascii="Times New Roman" w:hAnsi="Times New Roman" w:cs="Times New Roman"/>
          <w:b/>
          <w:sz w:val="24"/>
          <w:szCs w:val="24"/>
        </w:rPr>
        <w:t>Univers</w:t>
      </w:r>
      <w:r w:rsidR="00623909">
        <w:rPr>
          <w:rFonts w:ascii="Times New Roman" w:hAnsi="Times New Roman" w:cs="Times New Roman"/>
          <w:b/>
          <w:sz w:val="24"/>
          <w:szCs w:val="24"/>
        </w:rPr>
        <w:t>idad Juárez Autónoma de Tabasco</w:t>
      </w:r>
    </w:p>
    <w:p w:rsidR="00054DC2" w:rsidRPr="007861DC" w:rsidRDefault="000204B0" w:rsidP="00C37F15">
      <w:pPr>
        <w:pStyle w:val="NormalWeb"/>
        <w:shd w:val="clear" w:color="auto" w:fill="FFFFFF"/>
        <w:spacing w:before="0" w:beforeAutospacing="0" w:after="150" w:afterAutospacing="0" w:line="276" w:lineRule="auto"/>
        <w:jc w:val="both"/>
        <w:rPr>
          <w:sz w:val="19"/>
          <w:szCs w:val="19"/>
        </w:rPr>
      </w:pPr>
      <w:r w:rsidRPr="00C37F15">
        <w:rPr>
          <w:sz w:val="19"/>
          <w:szCs w:val="19"/>
        </w:rPr>
        <w:t>La</w:t>
      </w:r>
      <w:r w:rsidR="00013D02" w:rsidRPr="00C37F15">
        <w:rPr>
          <w:sz w:val="19"/>
          <w:szCs w:val="19"/>
        </w:rPr>
        <w:t xml:space="preserve"> Universidad Juárez Autónoma de Tabasco</w:t>
      </w:r>
      <w:r w:rsidR="00054DC2" w:rsidRPr="00C37F15">
        <w:rPr>
          <w:sz w:val="19"/>
          <w:szCs w:val="19"/>
        </w:rPr>
        <w:t xml:space="preserve"> [UJAT]</w:t>
      </w:r>
      <w:r w:rsidR="00013D02" w:rsidRPr="00C37F15">
        <w:rPr>
          <w:sz w:val="19"/>
          <w:szCs w:val="19"/>
        </w:rPr>
        <w:t xml:space="preserve"> se hace presente en </w:t>
      </w:r>
      <w:r w:rsidR="008A581C" w:rsidRPr="00C37F15">
        <w:rPr>
          <w:sz w:val="19"/>
          <w:szCs w:val="19"/>
        </w:rPr>
        <w:t>sectores</w:t>
      </w:r>
      <w:r w:rsidR="00723BFF" w:rsidRPr="00C37F15">
        <w:rPr>
          <w:sz w:val="19"/>
          <w:szCs w:val="19"/>
        </w:rPr>
        <w:t xml:space="preserve"> </w:t>
      </w:r>
      <w:r w:rsidR="00760716" w:rsidRPr="00C37F15">
        <w:rPr>
          <w:sz w:val="19"/>
          <w:szCs w:val="19"/>
        </w:rPr>
        <w:t xml:space="preserve">vulnerables </w:t>
      </w:r>
      <w:r w:rsidR="008A581C" w:rsidRPr="00C37F15">
        <w:rPr>
          <w:sz w:val="19"/>
          <w:szCs w:val="19"/>
        </w:rPr>
        <w:t>tabasqueños</w:t>
      </w:r>
      <w:r w:rsidR="00013D02" w:rsidRPr="00C37F15">
        <w:rPr>
          <w:sz w:val="19"/>
          <w:szCs w:val="19"/>
        </w:rPr>
        <w:t>, a través de u</w:t>
      </w:r>
      <w:r w:rsidR="00E37123">
        <w:rPr>
          <w:sz w:val="19"/>
          <w:szCs w:val="19"/>
        </w:rPr>
        <w:t>na de las actividades</w:t>
      </w:r>
      <w:r w:rsidR="0086705D" w:rsidRPr="00C37F15">
        <w:rPr>
          <w:sz w:val="19"/>
          <w:szCs w:val="19"/>
        </w:rPr>
        <w:t xml:space="preserve"> de extensión</w:t>
      </w:r>
      <w:r w:rsidR="00E37123">
        <w:rPr>
          <w:sz w:val="19"/>
          <w:szCs w:val="19"/>
        </w:rPr>
        <w:t xml:space="preserve">, </w:t>
      </w:r>
      <w:r w:rsidR="00013D02" w:rsidRPr="00C37F15">
        <w:rPr>
          <w:sz w:val="19"/>
          <w:szCs w:val="19"/>
        </w:rPr>
        <w:t xml:space="preserve"> el Servicio Social Comunitario</w:t>
      </w:r>
      <w:r w:rsidR="0086705D" w:rsidRPr="00C37F15">
        <w:rPr>
          <w:sz w:val="19"/>
          <w:szCs w:val="19"/>
        </w:rPr>
        <w:t xml:space="preserve"> UJAT-</w:t>
      </w:r>
      <w:proofErr w:type="spellStart"/>
      <w:r w:rsidR="0086705D" w:rsidRPr="00C37F15">
        <w:rPr>
          <w:sz w:val="19"/>
          <w:szCs w:val="19"/>
        </w:rPr>
        <w:t>Peraj</w:t>
      </w:r>
      <w:proofErr w:type="spellEnd"/>
      <w:r w:rsidR="00013D02" w:rsidRPr="00C37F15">
        <w:rPr>
          <w:sz w:val="19"/>
          <w:szCs w:val="19"/>
        </w:rPr>
        <w:t>.</w:t>
      </w:r>
      <w:r w:rsidR="00054DC2" w:rsidRPr="00C37F15">
        <w:rPr>
          <w:sz w:val="19"/>
          <w:szCs w:val="19"/>
        </w:rPr>
        <w:t xml:space="preserve"> Los </w:t>
      </w:r>
      <w:r w:rsidR="00013D02" w:rsidRPr="00C37F15">
        <w:rPr>
          <w:sz w:val="19"/>
          <w:szCs w:val="19"/>
        </w:rPr>
        <w:t xml:space="preserve">universitarios encuentran en </w:t>
      </w:r>
      <w:r w:rsidR="00760716" w:rsidRPr="00C37F15">
        <w:rPr>
          <w:sz w:val="19"/>
          <w:szCs w:val="19"/>
        </w:rPr>
        <w:t>este,</w:t>
      </w:r>
      <w:r w:rsidR="00013D02" w:rsidRPr="00C37F15">
        <w:rPr>
          <w:sz w:val="19"/>
          <w:szCs w:val="19"/>
        </w:rPr>
        <w:t xml:space="preserve"> una oportunidad de </w:t>
      </w:r>
      <w:r w:rsidR="00054DC2" w:rsidRPr="00C37F15">
        <w:rPr>
          <w:sz w:val="19"/>
          <w:szCs w:val="19"/>
        </w:rPr>
        <w:t xml:space="preserve">prestar un servicio </w:t>
      </w:r>
      <w:r w:rsidR="00013D02" w:rsidRPr="00C37F15">
        <w:rPr>
          <w:sz w:val="19"/>
          <w:szCs w:val="19"/>
        </w:rPr>
        <w:t xml:space="preserve">a la sociedad de manera significativa, </w:t>
      </w:r>
      <w:r w:rsidR="00054DC2" w:rsidRPr="00C37F15">
        <w:rPr>
          <w:sz w:val="19"/>
          <w:szCs w:val="19"/>
        </w:rPr>
        <w:t>ayudando</w:t>
      </w:r>
      <w:r w:rsidR="008A581C" w:rsidRPr="00C37F15">
        <w:rPr>
          <w:sz w:val="19"/>
          <w:szCs w:val="19"/>
        </w:rPr>
        <w:t xml:space="preserve"> a la mejora</w:t>
      </w:r>
      <w:r w:rsidR="00723BFF" w:rsidRPr="00C37F15">
        <w:rPr>
          <w:sz w:val="19"/>
          <w:szCs w:val="19"/>
        </w:rPr>
        <w:t xml:space="preserve"> </w:t>
      </w:r>
      <w:r w:rsidR="008A581C" w:rsidRPr="00C37F15">
        <w:rPr>
          <w:sz w:val="19"/>
          <w:szCs w:val="19"/>
        </w:rPr>
        <w:t xml:space="preserve">continua </w:t>
      </w:r>
      <w:r w:rsidR="00013D02" w:rsidRPr="00C37F15">
        <w:rPr>
          <w:sz w:val="19"/>
          <w:szCs w:val="19"/>
        </w:rPr>
        <w:t>de la comunid</w:t>
      </w:r>
      <w:r w:rsidR="00E37123">
        <w:rPr>
          <w:sz w:val="19"/>
          <w:szCs w:val="19"/>
        </w:rPr>
        <w:t>ad, a través de la educación,  cultura,</w:t>
      </w:r>
      <w:r w:rsidR="00013D02" w:rsidRPr="00C37F15">
        <w:rPr>
          <w:sz w:val="19"/>
          <w:szCs w:val="19"/>
        </w:rPr>
        <w:t xml:space="preserve"> asistencia en el rubr</w:t>
      </w:r>
      <w:r w:rsidR="00E37123">
        <w:rPr>
          <w:sz w:val="19"/>
          <w:szCs w:val="19"/>
        </w:rPr>
        <w:t>o de salud, y</w:t>
      </w:r>
      <w:r w:rsidR="008A581C" w:rsidRPr="00C37F15">
        <w:rPr>
          <w:sz w:val="19"/>
          <w:szCs w:val="19"/>
        </w:rPr>
        <w:t xml:space="preserve"> asesoría profesional</w:t>
      </w:r>
      <w:r w:rsidR="00013D02" w:rsidRPr="00C37F15">
        <w:rPr>
          <w:sz w:val="19"/>
          <w:szCs w:val="19"/>
        </w:rPr>
        <w:t>.</w:t>
      </w:r>
      <w:r w:rsidR="00054DC2" w:rsidRPr="00C37F15">
        <w:rPr>
          <w:sz w:val="19"/>
          <w:szCs w:val="19"/>
        </w:rPr>
        <w:t xml:space="preserve"> De igual </w:t>
      </w:r>
      <w:r w:rsidR="00760716" w:rsidRPr="00C37F15">
        <w:rPr>
          <w:sz w:val="19"/>
          <w:szCs w:val="19"/>
        </w:rPr>
        <w:t>manera</w:t>
      </w:r>
      <w:r w:rsidR="00013D02" w:rsidRPr="00C37F15">
        <w:rPr>
          <w:sz w:val="19"/>
          <w:szCs w:val="19"/>
        </w:rPr>
        <w:t xml:space="preserve">, el servicio comunitario es una fuente invaluable de aprendizaje de la realidad, </w:t>
      </w:r>
      <w:r w:rsidR="00760716" w:rsidRPr="00C37F15">
        <w:rPr>
          <w:sz w:val="19"/>
          <w:szCs w:val="19"/>
        </w:rPr>
        <w:t>la cual a</w:t>
      </w:r>
      <w:r w:rsidR="00013D02" w:rsidRPr="00C37F15">
        <w:rPr>
          <w:sz w:val="19"/>
          <w:szCs w:val="19"/>
        </w:rPr>
        <w:t xml:space="preserve">yuda a consolidar la formación integral de los estudiantes, al dotarlos de </w:t>
      </w:r>
      <w:r w:rsidR="00E37123">
        <w:rPr>
          <w:sz w:val="19"/>
          <w:szCs w:val="19"/>
        </w:rPr>
        <w:t>experiencias</w:t>
      </w:r>
      <w:r w:rsidR="00013D02" w:rsidRPr="00C37F15">
        <w:rPr>
          <w:sz w:val="19"/>
          <w:szCs w:val="19"/>
        </w:rPr>
        <w:t xml:space="preserve"> </w:t>
      </w:r>
      <w:r w:rsidR="00E37123">
        <w:rPr>
          <w:sz w:val="19"/>
          <w:szCs w:val="19"/>
        </w:rPr>
        <w:t>en sociedades vulnerables</w:t>
      </w:r>
      <w:r w:rsidR="00013D02" w:rsidRPr="00C37F15">
        <w:rPr>
          <w:sz w:val="19"/>
          <w:szCs w:val="19"/>
        </w:rPr>
        <w:t xml:space="preserve">, que los </w:t>
      </w:r>
      <w:r w:rsidR="00013D02" w:rsidRPr="007861DC">
        <w:rPr>
          <w:sz w:val="19"/>
          <w:szCs w:val="19"/>
        </w:rPr>
        <w:t xml:space="preserve">enfrenta a la toma de decisiones y </w:t>
      </w:r>
      <w:r w:rsidR="00760716" w:rsidRPr="007861DC">
        <w:rPr>
          <w:sz w:val="19"/>
          <w:szCs w:val="19"/>
        </w:rPr>
        <w:t xml:space="preserve">al </w:t>
      </w:r>
      <w:r w:rsidR="00013D02" w:rsidRPr="007861DC">
        <w:rPr>
          <w:sz w:val="19"/>
          <w:szCs w:val="19"/>
        </w:rPr>
        <w:t>fortalecimiento de</w:t>
      </w:r>
      <w:r w:rsidR="00054DC2" w:rsidRPr="007861DC">
        <w:rPr>
          <w:sz w:val="19"/>
          <w:szCs w:val="19"/>
        </w:rPr>
        <w:t xml:space="preserve"> sus valores sociales y humanos (UJAT, 2015).</w:t>
      </w:r>
    </w:p>
    <w:p w:rsidR="001E3171" w:rsidRPr="00C37F15" w:rsidRDefault="001E3171" w:rsidP="001E3171">
      <w:pPr>
        <w:ind w:firstLine="708"/>
        <w:jc w:val="both"/>
        <w:rPr>
          <w:rFonts w:ascii="Times New Roman" w:eastAsia="Times New Roman" w:hAnsi="Times New Roman" w:cs="Times New Roman"/>
          <w:sz w:val="19"/>
          <w:szCs w:val="19"/>
          <w:lang w:eastAsia="es-MX"/>
        </w:rPr>
      </w:pPr>
      <w:r w:rsidRPr="007861DC">
        <w:rPr>
          <w:rFonts w:ascii="Times New Roman" w:eastAsia="Times New Roman" w:hAnsi="Times New Roman" w:cs="Times New Roman"/>
          <w:sz w:val="19"/>
          <w:szCs w:val="19"/>
          <w:lang w:eastAsia="es-MX"/>
        </w:rPr>
        <w:t>La División Académica de Cien</w:t>
      </w:r>
      <w:r w:rsidR="00B92E95" w:rsidRPr="007861DC">
        <w:rPr>
          <w:rFonts w:ascii="Times New Roman" w:eastAsia="Times New Roman" w:hAnsi="Times New Roman" w:cs="Times New Roman"/>
          <w:sz w:val="19"/>
          <w:szCs w:val="19"/>
          <w:lang w:eastAsia="es-MX"/>
        </w:rPr>
        <w:t>cias Económico Administrativas [DACEA]</w:t>
      </w:r>
      <w:r w:rsidR="00A955CB" w:rsidRPr="007861DC">
        <w:rPr>
          <w:rFonts w:ascii="Times New Roman" w:eastAsia="Times New Roman" w:hAnsi="Times New Roman" w:cs="Times New Roman"/>
          <w:sz w:val="19"/>
          <w:szCs w:val="19"/>
          <w:lang w:eastAsia="es-MX"/>
        </w:rPr>
        <w:t xml:space="preserve"> </w:t>
      </w:r>
      <w:r w:rsidR="00760716" w:rsidRPr="007861DC">
        <w:rPr>
          <w:rFonts w:ascii="Times New Roman" w:eastAsia="Times New Roman" w:hAnsi="Times New Roman" w:cs="Times New Roman"/>
          <w:sz w:val="19"/>
          <w:szCs w:val="19"/>
          <w:lang w:eastAsia="es-MX"/>
        </w:rPr>
        <w:t xml:space="preserve">forma parte de </w:t>
      </w:r>
      <w:r w:rsidR="00B92E95" w:rsidRPr="007861DC">
        <w:rPr>
          <w:rFonts w:ascii="Times New Roman" w:eastAsia="Times New Roman" w:hAnsi="Times New Roman" w:cs="Times New Roman"/>
          <w:sz w:val="19"/>
          <w:szCs w:val="19"/>
          <w:lang w:eastAsia="es-MX"/>
        </w:rPr>
        <w:t xml:space="preserve"> la U</w:t>
      </w:r>
      <w:r w:rsidR="00760716" w:rsidRPr="007861DC">
        <w:rPr>
          <w:rFonts w:ascii="Times New Roman" w:eastAsia="Times New Roman" w:hAnsi="Times New Roman" w:cs="Times New Roman"/>
          <w:sz w:val="19"/>
          <w:szCs w:val="19"/>
          <w:lang w:eastAsia="es-MX"/>
        </w:rPr>
        <w:t xml:space="preserve">niversidad </w:t>
      </w:r>
      <w:r w:rsidR="00B92E95" w:rsidRPr="007861DC">
        <w:rPr>
          <w:rFonts w:ascii="Times New Roman" w:eastAsia="Times New Roman" w:hAnsi="Times New Roman" w:cs="Times New Roman"/>
          <w:sz w:val="19"/>
          <w:szCs w:val="19"/>
          <w:lang w:eastAsia="es-MX"/>
        </w:rPr>
        <w:t>J</w:t>
      </w:r>
      <w:r w:rsidR="00760716" w:rsidRPr="007861DC">
        <w:rPr>
          <w:rFonts w:ascii="Times New Roman" w:eastAsia="Times New Roman" w:hAnsi="Times New Roman" w:cs="Times New Roman"/>
          <w:sz w:val="19"/>
          <w:szCs w:val="19"/>
          <w:lang w:eastAsia="es-MX"/>
        </w:rPr>
        <w:t xml:space="preserve">uárez </w:t>
      </w:r>
      <w:r w:rsidR="00B92E95" w:rsidRPr="007861DC">
        <w:rPr>
          <w:rFonts w:ascii="Times New Roman" w:eastAsia="Times New Roman" w:hAnsi="Times New Roman" w:cs="Times New Roman"/>
          <w:sz w:val="19"/>
          <w:szCs w:val="19"/>
          <w:lang w:eastAsia="es-MX"/>
        </w:rPr>
        <w:t>A</w:t>
      </w:r>
      <w:r w:rsidR="00760716" w:rsidRPr="007861DC">
        <w:rPr>
          <w:rFonts w:ascii="Times New Roman" w:eastAsia="Times New Roman" w:hAnsi="Times New Roman" w:cs="Times New Roman"/>
          <w:sz w:val="19"/>
          <w:szCs w:val="19"/>
          <w:lang w:eastAsia="es-MX"/>
        </w:rPr>
        <w:t xml:space="preserve">utónoma de Tabasco, ubicada en la zona de la cultura, en la ciudad de Villahermosa, Tabasco; </w:t>
      </w:r>
      <w:r w:rsidRPr="007861DC">
        <w:rPr>
          <w:rFonts w:ascii="Times New Roman" w:eastAsia="Times New Roman" w:hAnsi="Times New Roman" w:cs="Times New Roman"/>
          <w:sz w:val="19"/>
          <w:szCs w:val="19"/>
          <w:lang w:eastAsia="es-MX"/>
        </w:rPr>
        <w:t>está conformada por 3,747 alumnos inscritos en las 5 licenciaturas que se imparten en esta División</w:t>
      </w:r>
      <w:r w:rsidR="00760716" w:rsidRPr="007861DC">
        <w:rPr>
          <w:rFonts w:ascii="Times New Roman" w:eastAsia="Times New Roman" w:hAnsi="Times New Roman" w:cs="Times New Roman"/>
          <w:sz w:val="19"/>
          <w:szCs w:val="19"/>
          <w:lang w:eastAsia="es-MX"/>
        </w:rPr>
        <w:t>:</w:t>
      </w:r>
      <w:r w:rsidRPr="007861DC">
        <w:rPr>
          <w:rFonts w:ascii="Times New Roman" w:eastAsia="Times New Roman" w:hAnsi="Times New Roman" w:cs="Times New Roman"/>
          <w:sz w:val="19"/>
          <w:szCs w:val="19"/>
          <w:lang w:eastAsia="es-MX"/>
        </w:rPr>
        <w:t xml:space="preserve"> Licenciado en Administración, Licenciado en Contaduría Pública, Licenciado en Economía, Licenciado en Relaciones Comerciales y Licenciado en Mercadotecnia. El Servicio Social y la Práctica Profesional, se encuentran</w:t>
      </w:r>
      <w:r w:rsidRPr="00C37F15">
        <w:rPr>
          <w:rFonts w:ascii="Times New Roman" w:eastAsia="Times New Roman" w:hAnsi="Times New Roman" w:cs="Times New Roman"/>
          <w:sz w:val="19"/>
          <w:szCs w:val="19"/>
          <w:lang w:eastAsia="es-MX"/>
        </w:rPr>
        <w:t xml:space="preserve"> incluidos en la </w:t>
      </w:r>
      <w:proofErr w:type="spellStart"/>
      <w:r w:rsidRPr="00C37F15">
        <w:rPr>
          <w:rFonts w:ascii="Times New Roman" w:eastAsia="Times New Roman" w:hAnsi="Times New Roman" w:cs="Times New Roman"/>
          <w:sz w:val="19"/>
          <w:szCs w:val="19"/>
          <w:lang w:eastAsia="es-MX"/>
        </w:rPr>
        <w:t>currícula</w:t>
      </w:r>
      <w:proofErr w:type="spellEnd"/>
      <w:r w:rsidRPr="00C37F15">
        <w:rPr>
          <w:rFonts w:ascii="Times New Roman" w:eastAsia="Times New Roman" w:hAnsi="Times New Roman" w:cs="Times New Roman"/>
          <w:sz w:val="19"/>
          <w:szCs w:val="19"/>
          <w:lang w:eastAsia="es-MX"/>
        </w:rPr>
        <w:t xml:space="preserve"> de los estudiantes de esta división, para tener un acercamiento con la sociedad, con la finalidad </w:t>
      </w:r>
      <w:r w:rsidR="008A581C" w:rsidRPr="00C37F15">
        <w:rPr>
          <w:rFonts w:ascii="Times New Roman" w:eastAsia="Times New Roman" w:hAnsi="Times New Roman" w:cs="Times New Roman"/>
          <w:sz w:val="19"/>
          <w:szCs w:val="19"/>
          <w:lang w:eastAsia="es-MX"/>
        </w:rPr>
        <w:t>de</w:t>
      </w:r>
      <w:r w:rsidRPr="00C37F15">
        <w:rPr>
          <w:rFonts w:ascii="Times New Roman" w:eastAsia="Times New Roman" w:hAnsi="Times New Roman" w:cs="Times New Roman"/>
          <w:sz w:val="19"/>
          <w:szCs w:val="19"/>
          <w:lang w:eastAsia="es-MX"/>
        </w:rPr>
        <w:t xml:space="preserve"> consolida</w:t>
      </w:r>
      <w:r w:rsidR="008A581C" w:rsidRPr="00C37F15">
        <w:rPr>
          <w:rFonts w:ascii="Times New Roman" w:eastAsia="Times New Roman" w:hAnsi="Times New Roman" w:cs="Times New Roman"/>
          <w:sz w:val="19"/>
          <w:szCs w:val="19"/>
          <w:lang w:eastAsia="es-MX"/>
        </w:rPr>
        <w:t>r</w:t>
      </w:r>
      <w:r w:rsidRPr="00C37F15">
        <w:rPr>
          <w:rFonts w:ascii="Times New Roman" w:eastAsia="Times New Roman" w:hAnsi="Times New Roman" w:cs="Times New Roman"/>
          <w:sz w:val="19"/>
          <w:szCs w:val="19"/>
          <w:lang w:eastAsia="es-MX"/>
        </w:rPr>
        <w:t xml:space="preserve"> su formación, desarrollando sus valores y aplicando sus conocimientos (UJAT, 2014).</w:t>
      </w:r>
    </w:p>
    <w:p w:rsidR="00054DC2" w:rsidRPr="00C37F15" w:rsidRDefault="0086705D" w:rsidP="00054DC2">
      <w:pPr>
        <w:pStyle w:val="NormalWeb"/>
        <w:shd w:val="clear" w:color="auto" w:fill="FFFFFF"/>
        <w:spacing w:before="0" w:beforeAutospacing="0" w:after="150" w:afterAutospacing="0" w:line="276" w:lineRule="auto"/>
        <w:ind w:firstLine="708"/>
        <w:jc w:val="both"/>
        <w:rPr>
          <w:sz w:val="19"/>
          <w:szCs w:val="19"/>
        </w:rPr>
      </w:pPr>
      <w:r w:rsidRPr="00C37F15">
        <w:rPr>
          <w:sz w:val="19"/>
          <w:szCs w:val="19"/>
        </w:rPr>
        <w:t xml:space="preserve"> En la UJAT, el</w:t>
      </w:r>
      <w:r w:rsidR="003D756B">
        <w:rPr>
          <w:sz w:val="19"/>
          <w:szCs w:val="19"/>
        </w:rPr>
        <w:t xml:space="preserve"> servicio social comunitario  se conoce como </w:t>
      </w:r>
      <w:r w:rsidR="00054DC2" w:rsidRPr="00C37F15">
        <w:rPr>
          <w:sz w:val="19"/>
          <w:szCs w:val="19"/>
        </w:rPr>
        <w:t>UJAT-</w:t>
      </w:r>
      <w:proofErr w:type="spellStart"/>
      <w:r w:rsidR="00054DC2" w:rsidRPr="00C37F15">
        <w:rPr>
          <w:sz w:val="19"/>
          <w:szCs w:val="19"/>
        </w:rPr>
        <w:t>Peraj</w:t>
      </w:r>
      <w:proofErr w:type="spellEnd"/>
      <w:r w:rsidR="00054DC2" w:rsidRPr="00C37F15">
        <w:rPr>
          <w:sz w:val="19"/>
          <w:szCs w:val="19"/>
        </w:rPr>
        <w:t xml:space="preserve"> adopta un amigo, el cual </w:t>
      </w:r>
      <w:r w:rsidR="003D756B">
        <w:rPr>
          <w:sz w:val="19"/>
          <w:szCs w:val="19"/>
        </w:rPr>
        <w:t>se basa</w:t>
      </w:r>
      <w:r w:rsidR="00054DC2" w:rsidRPr="00C37F15">
        <w:rPr>
          <w:sz w:val="19"/>
          <w:szCs w:val="19"/>
        </w:rPr>
        <w:t xml:space="preserve"> en fortalecer el desarrollo de alumnos de educación básica, a través de</w:t>
      </w:r>
      <w:r w:rsidR="003D756B">
        <w:rPr>
          <w:sz w:val="19"/>
          <w:szCs w:val="19"/>
        </w:rPr>
        <w:t xml:space="preserve"> los </w:t>
      </w:r>
      <w:r w:rsidR="00054DC2" w:rsidRPr="00C37F15">
        <w:rPr>
          <w:sz w:val="19"/>
          <w:szCs w:val="19"/>
        </w:rPr>
        <w:t>estudiantes de educación superior (UJAT, 2015)</w:t>
      </w:r>
      <w:r w:rsidR="003D756B">
        <w:rPr>
          <w:sz w:val="19"/>
          <w:szCs w:val="19"/>
        </w:rPr>
        <w:t xml:space="preserve"> y en </w:t>
      </w:r>
      <w:r w:rsidR="00054DC2" w:rsidRPr="00C37F15">
        <w:rPr>
          <w:sz w:val="19"/>
          <w:szCs w:val="19"/>
        </w:rPr>
        <w:t xml:space="preserve">este tipo de servicio comunitario, los universitarios apoyan a los alumnos de escuelas primarias con actividades </w:t>
      </w:r>
      <w:r w:rsidR="00BB0CBB" w:rsidRPr="00C37F15">
        <w:rPr>
          <w:sz w:val="19"/>
          <w:szCs w:val="19"/>
        </w:rPr>
        <w:t>encaminadas a desarrollar habilidades que los ayuden en</w:t>
      </w:r>
      <w:r w:rsidR="00723BFF" w:rsidRPr="00C37F15">
        <w:rPr>
          <w:sz w:val="19"/>
          <w:szCs w:val="19"/>
        </w:rPr>
        <w:t xml:space="preserve"> </w:t>
      </w:r>
      <w:r w:rsidR="00054DC2" w:rsidRPr="00C37F15">
        <w:rPr>
          <w:sz w:val="19"/>
          <w:szCs w:val="19"/>
        </w:rPr>
        <w:t>su formación académica</w:t>
      </w:r>
      <w:r w:rsidR="00BB0CBB" w:rsidRPr="00C37F15">
        <w:rPr>
          <w:sz w:val="19"/>
          <w:szCs w:val="19"/>
        </w:rPr>
        <w:t>.</w:t>
      </w:r>
      <w:r w:rsidR="00723BFF" w:rsidRPr="00C37F15">
        <w:rPr>
          <w:sz w:val="19"/>
          <w:szCs w:val="19"/>
        </w:rPr>
        <w:t xml:space="preserve"> </w:t>
      </w:r>
      <w:r w:rsidR="003D756B">
        <w:rPr>
          <w:sz w:val="19"/>
          <w:szCs w:val="19"/>
        </w:rPr>
        <w:t>Esta actividad de extensión</w:t>
      </w:r>
      <w:r w:rsidR="001E3171" w:rsidRPr="00C37F15">
        <w:rPr>
          <w:sz w:val="19"/>
          <w:szCs w:val="19"/>
        </w:rPr>
        <w:t xml:space="preserve"> se lleva a cabo  en todas las Divisiones Académicas de la universidad, siendo la población de estudio la D</w:t>
      </w:r>
      <w:r w:rsidR="00760716" w:rsidRPr="00C37F15">
        <w:rPr>
          <w:sz w:val="19"/>
          <w:szCs w:val="19"/>
        </w:rPr>
        <w:t xml:space="preserve">ivisión Académica de Ciencias Económico </w:t>
      </w:r>
      <w:r w:rsidR="001E3171" w:rsidRPr="00C37F15">
        <w:rPr>
          <w:sz w:val="19"/>
          <w:szCs w:val="19"/>
        </w:rPr>
        <w:t>A</w:t>
      </w:r>
      <w:r w:rsidR="00760716" w:rsidRPr="00C37F15">
        <w:rPr>
          <w:sz w:val="19"/>
          <w:szCs w:val="19"/>
        </w:rPr>
        <w:t>dministrativas.</w:t>
      </w:r>
    </w:p>
    <w:p w:rsidR="00EB0B59" w:rsidRPr="00C37F15" w:rsidRDefault="008A581C" w:rsidP="008A581C">
      <w:pPr>
        <w:pStyle w:val="NormalWeb"/>
        <w:shd w:val="clear" w:color="auto" w:fill="FFFFFF"/>
        <w:spacing w:before="0" w:beforeAutospacing="0" w:after="150" w:afterAutospacing="0" w:line="276" w:lineRule="auto"/>
        <w:ind w:firstLine="709"/>
        <w:jc w:val="both"/>
        <w:rPr>
          <w:sz w:val="19"/>
          <w:szCs w:val="19"/>
        </w:rPr>
      </w:pPr>
      <w:r w:rsidRPr="00C37F15">
        <w:rPr>
          <w:sz w:val="19"/>
          <w:szCs w:val="19"/>
        </w:rPr>
        <w:t xml:space="preserve">Los propósitos fundamentales </w:t>
      </w:r>
      <w:r w:rsidR="00BB0CBB" w:rsidRPr="00C37F15">
        <w:rPr>
          <w:sz w:val="19"/>
          <w:szCs w:val="19"/>
        </w:rPr>
        <w:t>del servicio social de acuerdo a</w:t>
      </w:r>
      <w:r w:rsidR="00EB0B59" w:rsidRPr="00C37F15">
        <w:rPr>
          <w:sz w:val="19"/>
          <w:szCs w:val="19"/>
        </w:rPr>
        <w:t xml:space="preserve"> la </w:t>
      </w:r>
      <w:r w:rsidR="00BB0CBB" w:rsidRPr="00C37F15">
        <w:rPr>
          <w:sz w:val="19"/>
          <w:szCs w:val="19"/>
        </w:rPr>
        <w:t>UJAT (2006)</w:t>
      </w:r>
      <w:r w:rsidR="00723BFF" w:rsidRPr="00C37F15">
        <w:rPr>
          <w:sz w:val="19"/>
          <w:szCs w:val="19"/>
        </w:rPr>
        <w:t xml:space="preserve"> </w:t>
      </w:r>
      <w:r w:rsidR="00BB0CBB" w:rsidRPr="00C37F15">
        <w:rPr>
          <w:sz w:val="19"/>
          <w:szCs w:val="19"/>
        </w:rPr>
        <w:t>son:</w:t>
      </w:r>
    </w:p>
    <w:p w:rsidR="00EB0B59" w:rsidRPr="00C37F15" w:rsidRDefault="00B82F86" w:rsidP="00EB0B59">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t xml:space="preserve">Ampliar los beneficios científicos, técnicos </w:t>
      </w:r>
      <w:r w:rsidR="006B33D7" w:rsidRPr="00C37F15">
        <w:rPr>
          <w:sz w:val="19"/>
          <w:szCs w:val="19"/>
        </w:rPr>
        <w:t xml:space="preserve">y culturales enfocados hacia la </w:t>
      </w:r>
      <w:r w:rsidR="00EB0B59" w:rsidRPr="00C37F15">
        <w:rPr>
          <w:sz w:val="19"/>
          <w:szCs w:val="19"/>
        </w:rPr>
        <w:t xml:space="preserve">sociedad en forma directa o a través de la </w:t>
      </w:r>
      <w:r w:rsidR="006B33D7" w:rsidRPr="00C37F15">
        <w:rPr>
          <w:sz w:val="19"/>
          <w:szCs w:val="19"/>
        </w:rPr>
        <w:t>combinación</w:t>
      </w:r>
      <w:r w:rsidR="00EB0B59" w:rsidRPr="00C37F15">
        <w:rPr>
          <w:sz w:val="19"/>
          <w:szCs w:val="19"/>
        </w:rPr>
        <w:t xml:space="preserve"> de esfuerzos con organismos públicos que comparten con la Universidad</w:t>
      </w:r>
      <w:r w:rsidR="006B33D7" w:rsidRPr="00C37F15">
        <w:rPr>
          <w:sz w:val="19"/>
          <w:szCs w:val="19"/>
        </w:rPr>
        <w:t>.</w:t>
      </w:r>
    </w:p>
    <w:p w:rsidR="00EB0B59" w:rsidRPr="00C37F15" w:rsidRDefault="00760716" w:rsidP="00EB0B59">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t>Mejorar</w:t>
      </w:r>
      <w:r w:rsidR="008A581C" w:rsidRPr="00C37F15">
        <w:rPr>
          <w:sz w:val="19"/>
          <w:szCs w:val="19"/>
        </w:rPr>
        <w:t xml:space="preserve"> e</w:t>
      </w:r>
      <w:r w:rsidR="00EB0B59" w:rsidRPr="00C37F15">
        <w:rPr>
          <w:sz w:val="19"/>
          <w:szCs w:val="19"/>
        </w:rPr>
        <w:t xml:space="preserve">n el prestador el significado del servicio social </w:t>
      </w:r>
      <w:r w:rsidR="00D83577" w:rsidRPr="00C37F15">
        <w:rPr>
          <w:sz w:val="19"/>
          <w:szCs w:val="19"/>
        </w:rPr>
        <w:t xml:space="preserve">sea </w:t>
      </w:r>
      <w:r w:rsidR="00EB0B59" w:rsidRPr="00C37F15">
        <w:rPr>
          <w:sz w:val="19"/>
          <w:szCs w:val="19"/>
        </w:rPr>
        <w:t xml:space="preserve">como un acto de </w:t>
      </w:r>
      <w:r w:rsidR="006B33D7" w:rsidRPr="00C37F15">
        <w:rPr>
          <w:sz w:val="19"/>
          <w:szCs w:val="19"/>
        </w:rPr>
        <w:t>gratificación</w:t>
      </w:r>
      <w:r w:rsidR="00EB0B59" w:rsidRPr="00C37F15">
        <w:rPr>
          <w:sz w:val="19"/>
          <w:szCs w:val="19"/>
        </w:rPr>
        <w:t xml:space="preserve"> a la sociedad por </w:t>
      </w:r>
      <w:r w:rsidR="006B33D7" w:rsidRPr="00C37F15">
        <w:rPr>
          <w:sz w:val="19"/>
          <w:szCs w:val="19"/>
        </w:rPr>
        <w:t>el aprendizaje y b</w:t>
      </w:r>
      <w:r w:rsidR="00EB0B59" w:rsidRPr="00C37F15">
        <w:rPr>
          <w:sz w:val="19"/>
          <w:szCs w:val="19"/>
        </w:rPr>
        <w:t xml:space="preserve">eneficios educativos </w:t>
      </w:r>
      <w:r w:rsidR="006B33D7" w:rsidRPr="00C37F15">
        <w:rPr>
          <w:sz w:val="19"/>
          <w:szCs w:val="19"/>
        </w:rPr>
        <w:t>obtenidos</w:t>
      </w:r>
      <w:r w:rsidR="00EB0B59" w:rsidRPr="00C37F15">
        <w:rPr>
          <w:sz w:val="19"/>
          <w:szCs w:val="19"/>
        </w:rPr>
        <w:t xml:space="preserve">. </w:t>
      </w:r>
    </w:p>
    <w:p w:rsidR="00EB0B59" w:rsidRPr="00C37F15" w:rsidRDefault="00760716" w:rsidP="00EB0B59">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t xml:space="preserve">Impulsar </w:t>
      </w:r>
      <w:r w:rsidR="00EB0B59" w:rsidRPr="00C37F15">
        <w:rPr>
          <w:sz w:val="19"/>
          <w:szCs w:val="19"/>
        </w:rPr>
        <w:t xml:space="preserve">en el prestador de servicio social una </w:t>
      </w:r>
      <w:r w:rsidR="006B33D7" w:rsidRPr="00C37F15">
        <w:rPr>
          <w:sz w:val="19"/>
          <w:szCs w:val="19"/>
        </w:rPr>
        <w:t>cultura</w:t>
      </w:r>
      <w:r w:rsidR="00723BFF" w:rsidRPr="00C37F15">
        <w:rPr>
          <w:sz w:val="19"/>
          <w:szCs w:val="19"/>
        </w:rPr>
        <w:t xml:space="preserve"> </w:t>
      </w:r>
      <w:r w:rsidR="00D83577" w:rsidRPr="00C37F15">
        <w:rPr>
          <w:sz w:val="19"/>
          <w:szCs w:val="19"/>
        </w:rPr>
        <w:t>solidari</w:t>
      </w:r>
      <w:r w:rsidR="00EB0B59" w:rsidRPr="00C37F15">
        <w:rPr>
          <w:sz w:val="19"/>
          <w:szCs w:val="19"/>
        </w:rPr>
        <w:t>a</w:t>
      </w:r>
      <w:r w:rsidR="00723BFF" w:rsidRPr="00C37F15">
        <w:rPr>
          <w:sz w:val="19"/>
          <w:szCs w:val="19"/>
        </w:rPr>
        <w:t xml:space="preserve"> </w:t>
      </w:r>
      <w:r w:rsidR="00EB0B59" w:rsidRPr="00C37F15">
        <w:rPr>
          <w:sz w:val="19"/>
          <w:szCs w:val="19"/>
        </w:rPr>
        <w:t>con la comunidad, mediante el conocimiento e investigación de sus problemas y la participació</w:t>
      </w:r>
      <w:r w:rsidR="006B33D7" w:rsidRPr="00C37F15">
        <w:rPr>
          <w:sz w:val="19"/>
          <w:szCs w:val="19"/>
        </w:rPr>
        <w:t>n en la solución de los mismos.</w:t>
      </w:r>
    </w:p>
    <w:p w:rsidR="00EB0B59" w:rsidRPr="00C37F15" w:rsidRDefault="00EB0B59" w:rsidP="00EB0B59">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t>Contribuir a la formación académica y profesional del pr</w:t>
      </w:r>
      <w:r w:rsidR="006B33D7" w:rsidRPr="00C37F15">
        <w:rPr>
          <w:sz w:val="19"/>
          <w:szCs w:val="19"/>
        </w:rPr>
        <w:t>estador de servicio social a través del conocimiento obtenido en el servicio.</w:t>
      </w:r>
    </w:p>
    <w:p w:rsidR="00EB0B59" w:rsidRPr="00C37F15" w:rsidRDefault="00FA1F05" w:rsidP="00EB0B59">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lastRenderedPageBreak/>
        <w:t xml:space="preserve">Incurrir </w:t>
      </w:r>
      <w:r w:rsidR="00D83577" w:rsidRPr="00C37F15">
        <w:rPr>
          <w:sz w:val="19"/>
          <w:szCs w:val="19"/>
        </w:rPr>
        <w:t>m</w:t>
      </w:r>
      <w:r w:rsidR="006B33D7" w:rsidRPr="00C37F15">
        <w:rPr>
          <w:sz w:val="19"/>
          <w:szCs w:val="19"/>
        </w:rPr>
        <w:t>ediante</w:t>
      </w:r>
      <w:r w:rsidR="00EB0B59" w:rsidRPr="00C37F15">
        <w:rPr>
          <w:sz w:val="19"/>
          <w:szCs w:val="19"/>
        </w:rPr>
        <w:t xml:space="preserve"> la planeación, organización y ejecución de programas</w:t>
      </w:r>
      <w:r w:rsidR="006B33D7" w:rsidRPr="00C37F15">
        <w:rPr>
          <w:sz w:val="19"/>
          <w:szCs w:val="19"/>
        </w:rPr>
        <w:t xml:space="preserve"> que permitan el </w:t>
      </w:r>
      <w:r w:rsidR="00EB0B59" w:rsidRPr="00C37F15">
        <w:rPr>
          <w:sz w:val="19"/>
          <w:szCs w:val="19"/>
        </w:rPr>
        <w:t>desarrollo para los grupos de población de menor nivel económico, social y educativo de la comun</w:t>
      </w:r>
      <w:r w:rsidR="006B33D7" w:rsidRPr="00C37F15">
        <w:rPr>
          <w:sz w:val="19"/>
          <w:szCs w:val="19"/>
        </w:rPr>
        <w:t>idad.</w:t>
      </w:r>
    </w:p>
    <w:p w:rsidR="00EB0B59" w:rsidRPr="00C37F15" w:rsidRDefault="002365A9" w:rsidP="00EB0B59">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t>Ampliar el conocimiento hacia</w:t>
      </w:r>
      <w:r w:rsidR="00723BFF" w:rsidRPr="00C37F15">
        <w:rPr>
          <w:sz w:val="19"/>
          <w:szCs w:val="19"/>
        </w:rPr>
        <w:t xml:space="preserve"> </w:t>
      </w:r>
      <w:r w:rsidRPr="00C37F15">
        <w:rPr>
          <w:sz w:val="19"/>
          <w:szCs w:val="19"/>
        </w:rPr>
        <w:t xml:space="preserve">nuevos </w:t>
      </w:r>
      <w:r w:rsidR="00EB0B59" w:rsidRPr="00C37F15">
        <w:rPr>
          <w:sz w:val="19"/>
          <w:szCs w:val="19"/>
        </w:rPr>
        <w:t xml:space="preserve">modelos de </w:t>
      </w:r>
      <w:r w:rsidRPr="00C37F15">
        <w:rPr>
          <w:sz w:val="19"/>
          <w:szCs w:val="19"/>
        </w:rPr>
        <w:t>aprendizaje-</w:t>
      </w:r>
      <w:r w:rsidR="00EB0B59" w:rsidRPr="00C37F15">
        <w:rPr>
          <w:sz w:val="19"/>
          <w:szCs w:val="19"/>
        </w:rPr>
        <w:t xml:space="preserve">trabajo multidisciplinarios e interinstitucionales que familiaricen al prestador de </w:t>
      </w:r>
      <w:r w:rsidRPr="00C37F15">
        <w:rPr>
          <w:sz w:val="19"/>
          <w:szCs w:val="19"/>
        </w:rPr>
        <w:t xml:space="preserve">servicio social con situaciones </w:t>
      </w:r>
      <w:r w:rsidR="00EB0B59" w:rsidRPr="00C37F15">
        <w:rPr>
          <w:sz w:val="19"/>
          <w:szCs w:val="19"/>
        </w:rPr>
        <w:t>de colaborac</w:t>
      </w:r>
      <w:r w:rsidRPr="00C37F15">
        <w:rPr>
          <w:sz w:val="19"/>
          <w:szCs w:val="19"/>
        </w:rPr>
        <w:t>ión profesional y social para el</w:t>
      </w:r>
      <w:r w:rsidR="00723BFF" w:rsidRPr="00C37F15">
        <w:rPr>
          <w:sz w:val="19"/>
          <w:szCs w:val="19"/>
        </w:rPr>
        <w:t xml:space="preserve"> </w:t>
      </w:r>
      <w:r w:rsidRPr="00C37F15">
        <w:rPr>
          <w:sz w:val="19"/>
          <w:szCs w:val="19"/>
        </w:rPr>
        <w:t>desarrollo de objetivos establecidos.</w:t>
      </w:r>
    </w:p>
    <w:p w:rsidR="00DC2C0F" w:rsidRPr="00C37F15" w:rsidRDefault="002365A9" w:rsidP="00300D96">
      <w:pPr>
        <w:pStyle w:val="NormalWeb"/>
        <w:numPr>
          <w:ilvl w:val="0"/>
          <w:numId w:val="3"/>
        </w:numPr>
        <w:shd w:val="clear" w:color="auto" w:fill="FFFFFF"/>
        <w:spacing w:before="0" w:beforeAutospacing="0" w:after="150" w:afterAutospacing="0" w:line="276" w:lineRule="auto"/>
        <w:jc w:val="both"/>
        <w:rPr>
          <w:sz w:val="19"/>
          <w:szCs w:val="19"/>
        </w:rPr>
      </w:pPr>
      <w:r w:rsidRPr="00C37F15">
        <w:rPr>
          <w:sz w:val="19"/>
          <w:szCs w:val="19"/>
        </w:rPr>
        <w:t>Otorgar</w:t>
      </w:r>
      <w:r w:rsidR="00EB0B59" w:rsidRPr="00C37F15">
        <w:rPr>
          <w:sz w:val="19"/>
          <w:szCs w:val="19"/>
        </w:rPr>
        <w:t xml:space="preserve"> al prestador de servicio social la oportunidad de iniciar su desarrollo profesional</w:t>
      </w:r>
      <w:r w:rsidRPr="00C37F15">
        <w:rPr>
          <w:sz w:val="19"/>
          <w:szCs w:val="19"/>
        </w:rPr>
        <w:t xml:space="preserve"> mediante el aprendizaje en la comunidad </w:t>
      </w:r>
      <w:r w:rsidR="00902141" w:rsidRPr="00C37F15">
        <w:rPr>
          <w:sz w:val="19"/>
          <w:szCs w:val="19"/>
        </w:rPr>
        <w:t>y con el adaptarse mejor al m</w:t>
      </w:r>
      <w:r w:rsidR="00D83577" w:rsidRPr="00C37F15">
        <w:rPr>
          <w:sz w:val="19"/>
          <w:szCs w:val="19"/>
        </w:rPr>
        <w:t>erca</w:t>
      </w:r>
      <w:r w:rsidR="00902141" w:rsidRPr="00C37F15">
        <w:rPr>
          <w:sz w:val="19"/>
          <w:szCs w:val="19"/>
        </w:rPr>
        <w:t>do laboral</w:t>
      </w:r>
      <w:r w:rsidR="00D83577" w:rsidRPr="00C37F15">
        <w:rPr>
          <w:sz w:val="19"/>
          <w:szCs w:val="19"/>
        </w:rPr>
        <w:t>.</w:t>
      </w:r>
    </w:p>
    <w:p w:rsidR="00300D96" w:rsidRPr="00623909" w:rsidRDefault="00300D96" w:rsidP="00300D96">
      <w:pPr>
        <w:spacing w:line="276" w:lineRule="auto"/>
        <w:jc w:val="both"/>
        <w:rPr>
          <w:rFonts w:ascii="Times New Roman" w:hAnsi="Times New Roman" w:cs="Times New Roman"/>
          <w:b/>
          <w:sz w:val="24"/>
          <w:szCs w:val="24"/>
        </w:rPr>
      </w:pPr>
      <w:r w:rsidRPr="00623909">
        <w:rPr>
          <w:rFonts w:ascii="Times New Roman" w:hAnsi="Times New Roman" w:cs="Times New Roman"/>
          <w:b/>
          <w:sz w:val="24"/>
          <w:szCs w:val="24"/>
        </w:rPr>
        <w:t xml:space="preserve">UJAT-PERAJ </w:t>
      </w:r>
      <w:r w:rsidR="00623909" w:rsidRPr="00623909">
        <w:rPr>
          <w:rFonts w:ascii="Times New Roman" w:hAnsi="Times New Roman" w:cs="Times New Roman"/>
          <w:b/>
          <w:sz w:val="24"/>
          <w:szCs w:val="24"/>
        </w:rPr>
        <w:t xml:space="preserve">adopta un </w:t>
      </w:r>
      <w:proofErr w:type="spellStart"/>
      <w:r w:rsidR="00623909" w:rsidRPr="00623909">
        <w:rPr>
          <w:rFonts w:ascii="Times New Roman" w:hAnsi="Times New Roman" w:cs="Times New Roman"/>
          <w:b/>
          <w:sz w:val="24"/>
          <w:szCs w:val="24"/>
        </w:rPr>
        <w:t>amig</w:t>
      </w:r>
      <w:proofErr w:type="spellEnd"/>
      <w:r w:rsidRPr="00623909">
        <w:rPr>
          <w:rFonts w:ascii="Times New Roman" w:hAnsi="Times New Roman" w:cs="Times New Roman"/>
          <w:b/>
          <w:sz w:val="24"/>
          <w:szCs w:val="24"/>
        </w:rPr>
        <w:t>@.</w:t>
      </w:r>
    </w:p>
    <w:p w:rsidR="00552587" w:rsidRPr="00C37F15" w:rsidRDefault="00110236" w:rsidP="00623909">
      <w:pPr>
        <w:spacing w:line="276" w:lineRule="auto"/>
        <w:jc w:val="both"/>
        <w:rPr>
          <w:rFonts w:ascii="Times New Roman" w:hAnsi="Times New Roman" w:cs="Times New Roman"/>
          <w:sz w:val="19"/>
          <w:szCs w:val="19"/>
        </w:rPr>
      </w:pPr>
      <w:r w:rsidRPr="00C37F15">
        <w:rPr>
          <w:rFonts w:ascii="Times New Roman" w:hAnsi="Times New Roman" w:cs="Times New Roman"/>
          <w:sz w:val="19"/>
          <w:szCs w:val="19"/>
        </w:rPr>
        <w:t>E</w:t>
      </w:r>
      <w:r w:rsidR="009823FC" w:rsidRPr="00C37F15">
        <w:rPr>
          <w:rFonts w:ascii="Times New Roman" w:hAnsi="Times New Roman" w:cs="Times New Roman"/>
          <w:sz w:val="19"/>
          <w:szCs w:val="19"/>
        </w:rPr>
        <w:t xml:space="preserve">l Programa </w:t>
      </w:r>
      <w:proofErr w:type="spellStart"/>
      <w:r w:rsidR="009823FC" w:rsidRPr="00C37F15">
        <w:rPr>
          <w:rFonts w:ascii="Times New Roman" w:hAnsi="Times New Roman" w:cs="Times New Roman"/>
          <w:sz w:val="19"/>
          <w:szCs w:val="19"/>
        </w:rPr>
        <w:t>Peraj</w:t>
      </w:r>
      <w:proofErr w:type="spellEnd"/>
      <w:r w:rsidR="009823FC" w:rsidRPr="00C37F15">
        <w:rPr>
          <w:rFonts w:ascii="Times New Roman" w:hAnsi="Times New Roman" w:cs="Times New Roman"/>
          <w:sz w:val="19"/>
          <w:szCs w:val="19"/>
        </w:rPr>
        <w:t xml:space="preserve"> del Instituto </w:t>
      </w:r>
      <w:proofErr w:type="spellStart"/>
      <w:r w:rsidR="009823FC" w:rsidRPr="00C37F15">
        <w:rPr>
          <w:rFonts w:ascii="Times New Roman" w:hAnsi="Times New Roman" w:cs="Times New Roman"/>
          <w:sz w:val="19"/>
          <w:szCs w:val="19"/>
        </w:rPr>
        <w:t>Weizmann</w:t>
      </w:r>
      <w:proofErr w:type="spellEnd"/>
      <w:r w:rsidR="009823FC" w:rsidRPr="00C37F15">
        <w:rPr>
          <w:rFonts w:ascii="Times New Roman" w:hAnsi="Times New Roman" w:cs="Times New Roman"/>
          <w:sz w:val="19"/>
          <w:szCs w:val="19"/>
        </w:rPr>
        <w:t xml:space="preserve"> en México (</w:t>
      </w:r>
      <w:proofErr w:type="spellStart"/>
      <w:r w:rsidR="009823FC" w:rsidRPr="00C37F15">
        <w:rPr>
          <w:rFonts w:ascii="Times New Roman" w:hAnsi="Times New Roman" w:cs="Times New Roman"/>
          <w:sz w:val="19"/>
          <w:szCs w:val="19"/>
        </w:rPr>
        <w:t>Peraj</w:t>
      </w:r>
      <w:proofErr w:type="spellEnd"/>
      <w:r w:rsidR="009823FC" w:rsidRPr="00C37F15">
        <w:rPr>
          <w:rFonts w:ascii="Times New Roman" w:hAnsi="Times New Roman" w:cs="Times New Roman"/>
          <w:sz w:val="19"/>
          <w:szCs w:val="19"/>
        </w:rPr>
        <w:t xml:space="preserve"> - México) </w:t>
      </w:r>
      <w:r w:rsidR="00552587" w:rsidRPr="00C37F15">
        <w:rPr>
          <w:rFonts w:ascii="Times New Roman" w:hAnsi="Times New Roman" w:cs="Times New Roman"/>
          <w:sz w:val="19"/>
          <w:szCs w:val="19"/>
        </w:rPr>
        <w:t>promueve que en</w:t>
      </w:r>
      <w:r w:rsidR="009823FC" w:rsidRPr="00C37F15">
        <w:rPr>
          <w:rFonts w:ascii="Times New Roman" w:hAnsi="Times New Roman" w:cs="Times New Roman"/>
          <w:sz w:val="19"/>
          <w:szCs w:val="19"/>
        </w:rPr>
        <w:t xml:space="preserve"> las instituciones de educación superior </w:t>
      </w:r>
      <w:r w:rsidR="00552587" w:rsidRPr="00C37F15">
        <w:rPr>
          <w:rFonts w:ascii="Times New Roman" w:hAnsi="Times New Roman" w:cs="Times New Roman"/>
          <w:sz w:val="19"/>
          <w:szCs w:val="19"/>
        </w:rPr>
        <w:t xml:space="preserve">se incorporen programas </w:t>
      </w:r>
      <w:r w:rsidR="009823FC" w:rsidRPr="00C37F15">
        <w:rPr>
          <w:rFonts w:ascii="Times New Roman" w:hAnsi="Times New Roman" w:cs="Times New Roman"/>
          <w:sz w:val="19"/>
          <w:szCs w:val="19"/>
        </w:rPr>
        <w:t xml:space="preserve">para favorecer el desarrollo </w:t>
      </w:r>
      <w:r w:rsidR="00552587" w:rsidRPr="00C37F15">
        <w:rPr>
          <w:rFonts w:ascii="Times New Roman" w:hAnsi="Times New Roman" w:cs="Times New Roman"/>
          <w:sz w:val="19"/>
          <w:szCs w:val="19"/>
        </w:rPr>
        <w:t xml:space="preserve">profesional </w:t>
      </w:r>
      <w:r w:rsidR="009823FC" w:rsidRPr="00C37F15">
        <w:rPr>
          <w:rFonts w:ascii="Times New Roman" w:hAnsi="Times New Roman" w:cs="Times New Roman"/>
          <w:sz w:val="19"/>
          <w:szCs w:val="19"/>
        </w:rPr>
        <w:t xml:space="preserve">de los estudiantes </w:t>
      </w:r>
      <w:r w:rsidR="00552587" w:rsidRPr="00C37F15">
        <w:rPr>
          <w:rFonts w:ascii="Times New Roman" w:hAnsi="Times New Roman" w:cs="Times New Roman"/>
          <w:sz w:val="19"/>
          <w:szCs w:val="19"/>
        </w:rPr>
        <w:t xml:space="preserve">de educación superior a través de la educación básica </w:t>
      </w:r>
      <w:r w:rsidR="0086705D" w:rsidRPr="00C37F15">
        <w:rPr>
          <w:rFonts w:ascii="Times New Roman" w:hAnsi="Times New Roman" w:cs="Times New Roman"/>
          <w:sz w:val="19"/>
          <w:szCs w:val="19"/>
        </w:rPr>
        <w:t>donde se realizan la</w:t>
      </w:r>
      <w:r w:rsidR="007A098C" w:rsidRPr="00C37F15">
        <w:rPr>
          <w:rFonts w:ascii="Times New Roman" w:hAnsi="Times New Roman" w:cs="Times New Roman"/>
          <w:sz w:val="19"/>
          <w:szCs w:val="19"/>
        </w:rPr>
        <w:t>s</w:t>
      </w:r>
      <w:r w:rsidR="0086705D" w:rsidRPr="00C37F15">
        <w:rPr>
          <w:rFonts w:ascii="Times New Roman" w:hAnsi="Times New Roman" w:cs="Times New Roman"/>
          <w:sz w:val="19"/>
          <w:szCs w:val="19"/>
        </w:rPr>
        <w:t xml:space="preserve"> intervencio</w:t>
      </w:r>
      <w:r w:rsidR="00552587" w:rsidRPr="00C37F15">
        <w:rPr>
          <w:rFonts w:ascii="Times New Roman" w:hAnsi="Times New Roman" w:cs="Times New Roman"/>
          <w:sz w:val="19"/>
          <w:szCs w:val="19"/>
        </w:rPr>
        <w:t>nes.</w:t>
      </w:r>
      <w:r w:rsidR="007A098C" w:rsidRPr="00C37F15">
        <w:rPr>
          <w:rFonts w:ascii="Times New Roman" w:hAnsi="Times New Roman" w:cs="Times New Roman"/>
          <w:sz w:val="19"/>
          <w:szCs w:val="19"/>
        </w:rPr>
        <w:t xml:space="preserve"> N</w:t>
      </w:r>
      <w:r w:rsidR="009823FC" w:rsidRPr="00C37F15">
        <w:rPr>
          <w:rFonts w:ascii="Times New Roman" w:hAnsi="Times New Roman" w:cs="Times New Roman"/>
          <w:sz w:val="19"/>
          <w:szCs w:val="19"/>
        </w:rPr>
        <w:t xml:space="preserve">ace en Israel </w:t>
      </w:r>
      <w:r w:rsidR="007A098C" w:rsidRPr="00C37F15">
        <w:rPr>
          <w:rFonts w:ascii="Times New Roman" w:hAnsi="Times New Roman" w:cs="Times New Roman"/>
          <w:sz w:val="19"/>
          <w:szCs w:val="19"/>
        </w:rPr>
        <w:t>hace</w:t>
      </w:r>
      <w:r w:rsidR="009823FC" w:rsidRPr="00C37F15">
        <w:rPr>
          <w:rFonts w:ascii="Times New Roman" w:hAnsi="Times New Roman" w:cs="Times New Roman"/>
          <w:sz w:val="19"/>
          <w:szCs w:val="19"/>
        </w:rPr>
        <w:t xml:space="preserve"> 39 años como </w:t>
      </w:r>
      <w:r w:rsidR="00552587" w:rsidRPr="00C37F15">
        <w:rPr>
          <w:rFonts w:ascii="Times New Roman" w:hAnsi="Times New Roman" w:cs="Times New Roman"/>
          <w:sz w:val="19"/>
          <w:szCs w:val="19"/>
        </w:rPr>
        <w:t xml:space="preserve">proyecto experimental y que </w:t>
      </w:r>
      <w:r w:rsidR="009823FC" w:rsidRPr="00C37F15">
        <w:rPr>
          <w:rFonts w:ascii="Times New Roman" w:hAnsi="Times New Roman" w:cs="Times New Roman"/>
          <w:sz w:val="19"/>
          <w:szCs w:val="19"/>
        </w:rPr>
        <w:t>tiemp</w:t>
      </w:r>
      <w:r w:rsidR="00552587" w:rsidRPr="00C37F15">
        <w:rPr>
          <w:rFonts w:ascii="Times New Roman" w:hAnsi="Times New Roman" w:cs="Times New Roman"/>
          <w:sz w:val="19"/>
          <w:szCs w:val="19"/>
        </w:rPr>
        <w:t>o después se adoptó</w:t>
      </w:r>
      <w:r w:rsidR="00723BFF" w:rsidRPr="00C37F15">
        <w:rPr>
          <w:rFonts w:ascii="Times New Roman" w:hAnsi="Times New Roman" w:cs="Times New Roman"/>
          <w:sz w:val="19"/>
          <w:szCs w:val="19"/>
        </w:rPr>
        <w:t xml:space="preserve"> </w:t>
      </w:r>
      <w:r w:rsidR="003A4BEE" w:rsidRPr="00C37F15">
        <w:rPr>
          <w:rFonts w:ascii="Times New Roman" w:hAnsi="Times New Roman" w:cs="Times New Roman"/>
          <w:sz w:val="19"/>
          <w:szCs w:val="19"/>
        </w:rPr>
        <w:t xml:space="preserve">en México </w:t>
      </w:r>
      <w:r w:rsidR="009823FC" w:rsidRPr="00C37F15">
        <w:rPr>
          <w:rFonts w:ascii="Times New Roman" w:hAnsi="Times New Roman" w:cs="Times New Roman"/>
          <w:sz w:val="19"/>
          <w:szCs w:val="19"/>
        </w:rPr>
        <w:t xml:space="preserve">como proyecto nacional. Su sede es el Instituto </w:t>
      </w:r>
      <w:proofErr w:type="spellStart"/>
      <w:r w:rsidR="009823FC" w:rsidRPr="00C37F15">
        <w:rPr>
          <w:rFonts w:ascii="Times New Roman" w:hAnsi="Times New Roman" w:cs="Times New Roman"/>
          <w:sz w:val="19"/>
          <w:szCs w:val="19"/>
        </w:rPr>
        <w:t>Weizmann</w:t>
      </w:r>
      <w:proofErr w:type="spellEnd"/>
      <w:r w:rsidR="009823FC" w:rsidRPr="00C37F15">
        <w:rPr>
          <w:rFonts w:ascii="Times New Roman" w:hAnsi="Times New Roman" w:cs="Times New Roman"/>
          <w:sz w:val="19"/>
          <w:szCs w:val="19"/>
        </w:rPr>
        <w:t xml:space="preserve"> de Ciencias</w:t>
      </w:r>
      <w:r w:rsidR="00552587" w:rsidRPr="00C37F15">
        <w:rPr>
          <w:rFonts w:ascii="Times New Roman" w:hAnsi="Times New Roman" w:cs="Times New Roman"/>
          <w:sz w:val="19"/>
          <w:szCs w:val="19"/>
        </w:rPr>
        <w:t>,</w:t>
      </w:r>
      <w:r w:rsidR="00723BFF" w:rsidRPr="00C37F15">
        <w:rPr>
          <w:rFonts w:ascii="Times New Roman" w:hAnsi="Times New Roman" w:cs="Times New Roman"/>
          <w:sz w:val="19"/>
          <w:szCs w:val="19"/>
        </w:rPr>
        <w:t xml:space="preserve"> </w:t>
      </w:r>
      <w:r w:rsidR="00552587" w:rsidRPr="00C37F15">
        <w:rPr>
          <w:rFonts w:ascii="Times New Roman" w:hAnsi="Times New Roman" w:cs="Times New Roman"/>
          <w:sz w:val="19"/>
          <w:szCs w:val="19"/>
        </w:rPr>
        <w:t>estableciéndose como una</w:t>
      </w:r>
      <w:r w:rsidR="009823FC" w:rsidRPr="00C37F15">
        <w:rPr>
          <w:rFonts w:ascii="Times New Roman" w:hAnsi="Times New Roman" w:cs="Times New Roman"/>
          <w:sz w:val="19"/>
          <w:szCs w:val="19"/>
        </w:rPr>
        <w:t xml:space="preserve"> organización tutorial de Israel</w:t>
      </w:r>
      <w:r w:rsidR="00FE6302" w:rsidRPr="00C37F15">
        <w:rPr>
          <w:rFonts w:ascii="Times New Roman" w:hAnsi="Times New Roman" w:cs="Times New Roman"/>
          <w:sz w:val="19"/>
          <w:szCs w:val="19"/>
        </w:rPr>
        <w:t>,</w:t>
      </w:r>
      <w:r w:rsidR="009823FC" w:rsidRPr="00C37F15">
        <w:rPr>
          <w:rFonts w:ascii="Times New Roman" w:hAnsi="Times New Roman" w:cs="Times New Roman"/>
          <w:sz w:val="19"/>
          <w:szCs w:val="19"/>
        </w:rPr>
        <w:t xml:space="preserve"> e</w:t>
      </w:r>
      <w:r w:rsidR="00552587" w:rsidRPr="00C37F15">
        <w:rPr>
          <w:rFonts w:ascii="Times New Roman" w:hAnsi="Times New Roman" w:cs="Times New Roman"/>
          <w:sz w:val="19"/>
          <w:szCs w:val="19"/>
        </w:rPr>
        <w:t>n la cual participa</w:t>
      </w:r>
      <w:r w:rsidR="00FE6302" w:rsidRPr="00C37F15">
        <w:rPr>
          <w:rFonts w:ascii="Times New Roman" w:hAnsi="Times New Roman" w:cs="Times New Roman"/>
          <w:sz w:val="19"/>
          <w:szCs w:val="19"/>
        </w:rPr>
        <w:t>n</w:t>
      </w:r>
      <w:r w:rsidR="00552587" w:rsidRPr="00C37F15">
        <w:rPr>
          <w:rFonts w:ascii="Times New Roman" w:hAnsi="Times New Roman" w:cs="Times New Roman"/>
          <w:sz w:val="19"/>
          <w:szCs w:val="19"/>
        </w:rPr>
        <w:t xml:space="preserve"> alrededor del 25% de</w:t>
      </w:r>
      <w:r w:rsidR="009823FC" w:rsidRPr="00C37F15">
        <w:rPr>
          <w:rFonts w:ascii="Times New Roman" w:hAnsi="Times New Roman" w:cs="Times New Roman"/>
          <w:sz w:val="19"/>
          <w:szCs w:val="19"/>
        </w:rPr>
        <w:t xml:space="preserve"> estudiantes de </w:t>
      </w:r>
      <w:r w:rsidR="00552587" w:rsidRPr="00C37F15">
        <w:rPr>
          <w:rFonts w:ascii="Times New Roman" w:hAnsi="Times New Roman" w:cs="Times New Roman"/>
          <w:sz w:val="19"/>
          <w:szCs w:val="19"/>
        </w:rPr>
        <w:t xml:space="preserve">nivel </w:t>
      </w:r>
      <w:r w:rsidR="009823FC" w:rsidRPr="00C37F15">
        <w:rPr>
          <w:rFonts w:ascii="Times New Roman" w:hAnsi="Times New Roman" w:cs="Times New Roman"/>
          <w:sz w:val="19"/>
          <w:szCs w:val="19"/>
        </w:rPr>
        <w:t xml:space="preserve">licenciatura. </w:t>
      </w:r>
    </w:p>
    <w:p w:rsidR="009823FC" w:rsidRPr="007861DC" w:rsidRDefault="003A4BEE" w:rsidP="009823FC">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El programa </w:t>
      </w:r>
      <w:proofErr w:type="spellStart"/>
      <w:r w:rsidRPr="007861DC">
        <w:rPr>
          <w:rFonts w:ascii="Times New Roman" w:hAnsi="Times New Roman" w:cs="Times New Roman"/>
          <w:sz w:val="19"/>
          <w:szCs w:val="19"/>
        </w:rPr>
        <w:t>Peraj</w:t>
      </w:r>
      <w:proofErr w:type="spellEnd"/>
      <w:r w:rsidR="00FE6302" w:rsidRPr="007861DC">
        <w:rPr>
          <w:rFonts w:ascii="Times New Roman" w:hAnsi="Times New Roman" w:cs="Times New Roman"/>
          <w:sz w:val="19"/>
          <w:szCs w:val="19"/>
        </w:rPr>
        <w:t xml:space="preserve"> adopta un </w:t>
      </w:r>
      <w:proofErr w:type="spellStart"/>
      <w:r w:rsidR="00FE6302" w:rsidRPr="007861DC">
        <w:rPr>
          <w:rFonts w:ascii="Times New Roman" w:hAnsi="Times New Roman" w:cs="Times New Roman"/>
          <w:sz w:val="19"/>
          <w:szCs w:val="19"/>
        </w:rPr>
        <w:t>amig</w:t>
      </w:r>
      <w:proofErr w:type="spellEnd"/>
      <w:r w:rsidR="00FE6302" w:rsidRPr="007861DC">
        <w:rPr>
          <w:rFonts w:ascii="Times New Roman" w:hAnsi="Times New Roman" w:cs="Times New Roman"/>
          <w:sz w:val="19"/>
          <w:szCs w:val="19"/>
        </w:rPr>
        <w:t xml:space="preserve">@, </w:t>
      </w:r>
      <w:r w:rsidR="007861DC">
        <w:rPr>
          <w:rFonts w:ascii="Times New Roman" w:hAnsi="Times New Roman" w:cs="Times New Roman"/>
          <w:sz w:val="19"/>
          <w:szCs w:val="19"/>
        </w:rPr>
        <w:t>en la Universidad Juárez Autónoma de Tabasco,</w:t>
      </w:r>
      <w:r w:rsidR="009823FC" w:rsidRPr="007861DC">
        <w:rPr>
          <w:rFonts w:ascii="Times New Roman" w:hAnsi="Times New Roman" w:cs="Times New Roman"/>
          <w:sz w:val="19"/>
          <w:szCs w:val="19"/>
        </w:rPr>
        <w:t xml:space="preserve"> apoya el desarrollo social </w:t>
      </w:r>
      <w:r w:rsidR="00552587" w:rsidRPr="007861DC">
        <w:rPr>
          <w:rFonts w:ascii="Times New Roman" w:hAnsi="Times New Roman" w:cs="Times New Roman"/>
          <w:sz w:val="19"/>
          <w:szCs w:val="19"/>
        </w:rPr>
        <w:t>de alumnos de educación básica</w:t>
      </w:r>
      <w:r w:rsidR="009823FC" w:rsidRPr="007861DC">
        <w:rPr>
          <w:rFonts w:ascii="Times New Roman" w:hAnsi="Times New Roman" w:cs="Times New Roman"/>
          <w:sz w:val="19"/>
          <w:szCs w:val="19"/>
        </w:rPr>
        <w:t xml:space="preserve"> de escuelas públicas</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 xml:space="preserve">en México </w:t>
      </w:r>
      <w:r w:rsidR="00552587" w:rsidRPr="007861DC">
        <w:rPr>
          <w:rFonts w:ascii="Times New Roman" w:hAnsi="Times New Roman" w:cs="Times New Roman"/>
          <w:sz w:val="19"/>
          <w:szCs w:val="19"/>
        </w:rPr>
        <w:t>a nivel nacional</w:t>
      </w:r>
      <w:r w:rsidR="00C90B9A" w:rsidRPr="007861DC">
        <w:rPr>
          <w:rFonts w:ascii="Times New Roman" w:hAnsi="Times New Roman" w:cs="Times New Roman"/>
          <w:sz w:val="19"/>
          <w:szCs w:val="19"/>
        </w:rPr>
        <w:t>, a través de la tutoría de jóvenes u</w:t>
      </w:r>
      <w:r w:rsidR="009823FC" w:rsidRPr="007861DC">
        <w:rPr>
          <w:rFonts w:ascii="Times New Roman" w:hAnsi="Times New Roman" w:cs="Times New Roman"/>
          <w:sz w:val="19"/>
          <w:szCs w:val="19"/>
        </w:rPr>
        <w:t xml:space="preserve">niversitarios prestadores de Servicio Social </w:t>
      </w:r>
      <w:r w:rsidR="00552587" w:rsidRPr="007861DC">
        <w:rPr>
          <w:rFonts w:ascii="Times New Roman" w:hAnsi="Times New Roman" w:cs="Times New Roman"/>
          <w:sz w:val="19"/>
          <w:szCs w:val="19"/>
        </w:rPr>
        <w:t>Comunitario</w:t>
      </w:r>
      <w:r w:rsidR="001A62F3" w:rsidRPr="007861DC">
        <w:rPr>
          <w:rFonts w:ascii="Times New Roman" w:hAnsi="Times New Roman" w:cs="Times New Roman"/>
          <w:sz w:val="19"/>
          <w:szCs w:val="19"/>
        </w:rPr>
        <w:t>, lo cuales ejercen</w:t>
      </w:r>
      <w:r w:rsidR="00552587" w:rsidRPr="007861DC">
        <w:rPr>
          <w:rFonts w:ascii="Times New Roman" w:hAnsi="Times New Roman" w:cs="Times New Roman"/>
          <w:sz w:val="19"/>
          <w:szCs w:val="19"/>
        </w:rPr>
        <w:t xml:space="preserve"> el papel de tutores</w:t>
      </w:r>
      <w:r w:rsidR="009823FC" w:rsidRPr="007861DC">
        <w:rPr>
          <w:rFonts w:ascii="Times New Roman" w:hAnsi="Times New Roman" w:cs="Times New Roman"/>
          <w:sz w:val="19"/>
          <w:szCs w:val="19"/>
        </w:rPr>
        <w:t>.</w:t>
      </w:r>
      <w:r w:rsidR="00C90B9A" w:rsidRPr="007861DC">
        <w:rPr>
          <w:rFonts w:ascii="Times New Roman" w:hAnsi="Times New Roman" w:cs="Times New Roman"/>
          <w:sz w:val="19"/>
          <w:szCs w:val="19"/>
        </w:rPr>
        <w:t xml:space="preserve"> Su finalidad es la formación</w:t>
      </w:r>
      <w:r w:rsidR="009823FC" w:rsidRPr="007861DC">
        <w:rPr>
          <w:rFonts w:ascii="Times New Roman" w:hAnsi="Times New Roman" w:cs="Times New Roman"/>
          <w:sz w:val="19"/>
          <w:szCs w:val="19"/>
        </w:rPr>
        <w:t xml:space="preserve"> de una relación s</w:t>
      </w:r>
      <w:r w:rsidR="00552587" w:rsidRPr="007861DC">
        <w:rPr>
          <w:rFonts w:ascii="Times New Roman" w:hAnsi="Times New Roman" w:cs="Times New Roman"/>
          <w:sz w:val="19"/>
          <w:szCs w:val="19"/>
        </w:rPr>
        <w:t>i</w:t>
      </w:r>
      <w:r w:rsidR="00C90B9A" w:rsidRPr="007861DC">
        <w:rPr>
          <w:rFonts w:ascii="Times New Roman" w:hAnsi="Times New Roman" w:cs="Times New Roman"/>
          <w:sz w:val="19"/>
          <w:szCs w:val="19"/>
        </w:rPr>
        <w:t>gnificativa entre el tutor-amigo,</w:t>
      </w:r>
      <w:r w:rsidR="00723BFF" w:rsidRPr="007861DC">
        <w:rPr>
          <w:rFonts w:ascii="Times New Roman" w:hAnsi="Times New Roman" w:cs="Times New Roman"/>
          <w:sz w:val="19"/>
          <w:szCs w:val="19"/>
        </w:rPr>
        <w:t xml:space="preserve"> </w:t>
      </w:r>
      <w:r w:rsidR="00C90B9A" w:rsidRPr="007861DC">
        <w:rPr>
          <w:rFonts w:ascii="Times New Roman" w:hAnsi="Times New Roman" w:cs="Times New Roman"/>
          <w:sz w:val="19"/>
          <w:szCs w:val="19"/>
        </w:rPr>
        <w:t>contribuyendo</w:t>
      </w:r>
      <w:r w:rsidR="002F203E" w:rsidRPr="007861DC">
        <w:rPr>
          <w:rFonts w:ascii="Times New Roman" w:hAnsi="Times New Roman" w:cs="Times New Roman"/>
          <w:sz w:val="19"/>
          <w:szCs w:val="19"/>
        </w:rPr>
        <w:t xml:space="preserve"> a</w:t>
      </w:r>
      <w:r w:rsidR="009823FC" w:rsidRPr="007861DC">
        <w:rPr>
          <w:rFonts w:ascii="Times New Roman" w:hAnsi="Times New Roman" w:cs="Times New Roman"/>
          <w:sz w:val="19"/>
          <w:szCs w:val="19"/>
        </w:rPr>
        <w:t xml:space="preserve">l </w:t>
      </w:r>
      <w:r w:rsidR="001A62F3" w:rsidRPr="007861DC">
        <w:rPr>
          <w:rFonts w:ascii="Times New Roman" w:hAnsi="Times New Roman" w:cs="Times New Roman"/>
          <w:sz w:val="19"/>
          <w:szCs w:val="19"/>
        </w:rPr>
        <w:t>progreso</w:t>
      </w:r>
      <w:r w:rsidR="009823FC" w:rsidRPr="007861DC">
        <w:rPr>
          <w:rFonts w:ascii="Times New Roman" w:hAnsi="Times New Roman" w:cs="Times New Roman"/>
          <w:sz w:val="19"/>
          <w:szCs w:val="19"/>
        </w:rPr>
        <w:t xml:space="preserve"> educativo, social y psicológico del menor. </w:t>
      </w:r>
      <w:r w:rsidR="002F203E" w:rsidRPr="007861DC">
        <w:rPr>
          <w:rFonts w:ascii="Times New Roman" w:hAnsi="Times New Roman" w:cs="Times New Roman"/>
          <w:sz w:val="19"/>
          <w:szCs w:val="19"/>
        </w:rPr>
        <w:t>Los tutores apoyan a los jóvenes</w:t>
      </w:r>
      <w:r w:rsidR="009823FC" w:rsidRPr="007861DC">
        <w:rPr>
          <w:rFonts w:ascii="Times New Roman" w:hAnsi="Times New Roman" w:cs="Times New Roman"/>
          <w:sz w:val="19"/>
          <w:szCs w:val="19"/>
        </w:rPr>
        <w:t xml:space="preserve"> con el propósito de fortalecer su autoestima, desarrollar sus habilidades sociales, mejorar sus hábitos de estudio y ampliar su </w:t>
      </w:r>
      <w:r w:rsidR="002F203E" w:rsidRPr="007861DC">
        <w:rPr>
          <w:rFonts w:ascii="Times New Roman" w:hAnsi="Times New Roman" w:cs="Times New Roman"/>
          <w:sz w:val="19"/>
          <w:szCs w:val="19"/>
        </w:rPr>
        <w:t>cultura general</w:t>
      </w:r>
      <w:r w:rsidR="00C90B9A" w:rsidRPr="007861DC">
        <w:rPr>
          <w:rFonts w:ascii="Times New Roman" w:hAnsi="Times New Roman" w:cs="Times New Roman"/>
          <w:sz w:val="19"/>
          <w:szCs w:val="19"/>
        </w:rPr>
        <w:t>,</w:t>
      </w:r>
      <w:r w:rsidR="002F203E" w:rsidRPr="007861DC">
        <w:rPr>
          <w:rFonts w:ascii="Times New Roman" w:hAnsi="Times New Roman" w:cs="Times New Roman"/>
          <w:sz w:val="19"/>
          <w:szCs w:val="19"/>
        </w:rPr>
        <w:t xml:space="preserve"> convirtiendo al tutor en un modelo a seguir para los </w:t>
      </w:r>
      <w:r w:rsidR="00FE6302" w:rsidRPr="007861DC">
        <w:rPr>
          <w:rFonts w:ascii="Times New Roman" w:hAnsi="Times New Roman" w:cs="Times New Roman"/>
          <w:sz w:val="19"/>
          <w:szCs w:val="19"/>
        </w:rPr>
        <w:t>estudiantes</w:t>
      </w:r>
      <w:r w:rsidR="002F203E" w:rsidRPr="007861DC">
        <w:rPr>
          <w:rFonts w:ascii="Times New Roman" w:hAnsi="Times New Roman" w:cs="Times New Roman"/>
          <w:sz w:val="19"/>
          <w:szCs w:val="19"/>
        </w:rPr>
        <w:t xml:space="preserve"> mediante un vínculo de seguridad y confianza.</w:t>
      </w:r>
    </w:p>
    <w:p w:rsidR="00300D96" w:rsidRPr="007861DC" w:rsidRDefault="001A62F3" w:rsidP="00C90B9A">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Este programa</w:t>
      </w:r>
      <w:r w:rsidR="002F203E" w:rsidRPr="007861DC">
        <w:rPr>
          <w:rFonts w:ascii="Times New Roman" w:hAnsi="Times New Roman" w:cs="Times New Roman"/>
          <w:sz w:val="19"/>
          <w:szCs w:val="19"/>
        </w:rPr>
        <w:t xml:space="preserve"> busca atender problemáticas muy frecuentes </w:t>
      </w:r>
      <w:r w:rsidR="003A4BEE" w:rsidRPr="007861DC">
        <w:rPr>
          <w:rFonts w:ascii="Times New Roman" w:hAnsi="Times New Roman" w:cs="Times New Roman"/>
          <w:sz w:val="19"/>
          <w:szCs w:val="19"/>
        </w:rPr>
        <w:t>que puedan afectar a</w:t>
      </w:r>
      <w:r w:rsidR="002F203E" w:rsidRPr="007861DC">
        <w:rPr>
          <w:rFonts w:ascii="Times New Roman" w:hAnsi="Times New Roman" w:cs="Times New Roman"/>
          <w:sz w:val="19"/>
          <w:szCs w:val="19"/>
        </w:rPr>
        <w:t xml:space="preserve"> los círculos familiares</w:t>
      </w:r>
      <w:r w:rsidR="009823FC" w:rsidRPr="007861DC">
        <w:rPr>
          <w:rFonts w:ascii="Times New Roman" w:hAnsi="Times New Roman" w:cs="Times New Roman"/>
          <w:sz w:val="19"/>
          <w:szCs w:val="19"/>
        </w:rPr>
        <w:t>:</w:t>
      </w:r>
      <w:r w:rsidR="00C90B9A" w:rsidRPr="007861DC">
        <w:rPr>
          <w:rFonts w:ascii="Times New Roman" w:hAnsi="Times New Roman" w:cs="Times New Roman"/>
          <w:sz w:val="19"/>
          <w:szCs w:val="19"/>
        </w:rPr>
        <w:t xml:space="preserve"> p</w:t>
      </w:r>
      <w:r w:rsidR="009823FC" w:rsidRPr="007861DC">
        <w:rPr>
          <w:rFonts w:ascii="Times New Roman" w:hAnsi="Times New Roman" w:cs="Times New Roman"/>
          <w:sz w:val="19"/>
          <w:szCs w:val="19"/>
        </w:rPr>
        <w:t>adres que disponen de poco tiempo para la atención familiar</w:t>
      </w:r>
      <w:r w:rsidR="00C90B9A" w:rsidRPr="007861DC">
        <w:rPr>
          <w:rFonts w:ascii="Times New Roman" w:hAnsi="Times New Roman" w:cs="Times New Roman"/>
          <w:sz w:val="19"/>
          <w:szCs w:val="19"/>
        </w:rPr>
        <w:t>, a</w:t>
      </w:r>
      <w:r w:rsidR="009823FC" w:rsidRPr="007861DC">
        <w:rPr>
          <w:rFonts w:ascii="Times New Roman" w:hAnsi="Times New Roman" w:cs="Times New Roman"/>
          <w:sz w:val="19"/>
          <w:szCs w:val="19"/>
        </w:rPr>
        <w:t>usencia de padre o madre</w:t>
      </w:r>
      <w:r w:rsidR="00C90B9A" w:rsidRPr="007861DC">
        <w:rPr>
          <w:rFonts w:ascii="Times New Roman" w:hAnsi="Times New Roman" w:cs="Times New Roman"/>
          <w:sz w:val="19"/>
          <w:szCs w:val="19"/>
        </w:rPr>
        <w:t>, f</w:t>
      </w:r>
      <w:r w:rsidR="009823FC" w:rsidRPr="007861DC">
        <w:rPr>
          <w:rFonts w:ascii="Times New Roman" w:hAnsi="Times New Roman" w:cs="Times New Roman"/>
          <w:sz w:val="19"/>
          <w:szCs w:val="19"/>
        </w:rPr>
        <w:t xml:space="preserve">alta de conocimiento </w:t>
      </w:r>
      <w:r w:rsidR="00FE6302" w:rsidRPr="007861DC">
        <w:rPr>
          <w:rFonts w:ascii="Times New Roman" w:hAnsi="Times New Roman" w:cs="Times New Roman"/>
          <w:sz w:val="19"/>
          <w:szCs w:val="19"/>
        </w:rPr>
        <w:t>por parte de los</w:t>
      </w:r>
      <w:r w:rsidR="009823FC" w:rsidRPr="007861DC">
        <w:rPr>
          <w:rFonts w:ascii="Times New Roman" w:hAnsi="Times New Roman" w:cs="Times New Roman"/>
          <w:sz w:val="19"/>
          <w:szCs w:val="19"/>
        </w:rPr>
        <w:t xml:space="preserve"> padres en cómo apoyar a  los hijos</w:t>
      </w:r>
      <w:r w:rsidR="00C90B9A" w:rsidRPr="007861DC">
        <w:rPr>
          <w:rFonts w:ascii="Times New Roman" w:hAnsi="Times New Roman" w:cs="Times New Roman"/>
          <w:sz w:val="19"/>
          <w:szCs w:val="19"/>
        </w:rPr>
        <w:t>, h</w:t>
      </w:r>
      <w:r w:rsidR="009823FC" w:rsidRPr="007861DC">
        <w:rPr>
          <w:rFonts w:ascii="Times New Roman" w:hAnsi="Times New Roman" w:cs="Times New Roman"/>
          <w:sz w:val="19"/>
          <w:szCs w:val="19"/>
        </w:rPr>
        <w:t>orizontes limitados por contexto familiar o social</w:t>
      </w:r>
      <w:r w:rsidR="002F203E" w:rsidRPr="007861DC">
        <w:rPr>
          <w:rFonts w:ascii="Times New Roman" w:hAnsi="Times New Roman" w:cs="Times New Roman"/>
          <w:sz w:val="19"/>
          <w:szCs w:val="19"/>
        </w:rPr>
        <w:t>.</w:t>
      </w:r>
      <w:r w:rsidRPr="007861DC">
        <w:rPr>
          <w:rFonts w:ascii="Times New Roman" w:hAnsi="Times New Roman" w:cs="Times New Roman"/>
          <w:sz w:val="19"/>
          <w:szCs w:val="19"/>
        </w:rPr>
        <w:t xml:space="preserve"> Esto</w:t>
      </w:r>
      <w:r w:rsidR="002F203E" w:rsidRPr="007861DC">
        <w:rPr>
          <w:rFonts w:ascii="Times New Roman" w:hAnsi="Times New Roman" w:cs="Times New Roman"/>
          <w:sz w:val="19"/>
          <w:szCs w:val="19"/>
        </w:rPr>
        <w:t xml:space="preserve"> origina que</w:t>
      </w:r>
      <w:r w:rsidR="00FE6302" w:rsidRPr="007861DC">
        <w:rPr>
          <w:rFonts w:ascii="Times New Roman" w:hAnsi="Times New Roman" w:cs="Times New Roman"/>
          <w:sz w:val="19"/>
          <w:szCs w:val="19"/>
        </w:rPr>
        <w:t xml:space="preserve"> se les brinde a los </w:t>
      </w:r>
      <w:r w:rsidRPr="007861DC">
        <w:rPr>
          <w:rFonts w:ascii="Times New Roman" w:hAnsi="Times New Roman" w:cs="Times New Roman"/>
          <w:sz w:val="19"/>
          <w:szCs w:val="19"/>
        </w:rPr>
        <w:t>alumnos</w:t>
      </w:r>
      <w:r w:rsidR="002F203E" w:rsidRPr="007861DC">
        <w:rPr>
          <w:rFonts w:ascii="Times New Roman" w:hAnsi="Times New Roman" w:cs="Times New Roman"/>
          <w:sz w:val="19"/>
          <w:szCs w:val="19"/>
        </w:rPr>
        <w:t xml:space="preserve"> orientación</w:t>
      </w:r>
      <w:r w:rsidR="00FE6302" w:rsidRPr="007861DC">
        <w:rPr>
          <w:rFonts w:ascii="Times New Roman" w:hAnsi="Times New Roman" w:cs="Times New Roman"/>
          <w:sz w:val="19"/>
          <w:szCs w:val="19"/>
        </w:rPr>
        <w:t xml:space="preserve"> de tipo escolar</w:t>
      </w:r>
      <w:r w:rsidR="002F203E" w:rsidRPr="007861DC">
        <w:rPr>
          <w:rFonts w:ascii="Times New Roman" w:hAnsi="Times New Roman" w:cs="Times New Roman"/>
          <w:sz w:val="19"/>
          <w:szCs w:val="19"/>
        </w:rPr>
        <w:t xml:space="preserve"> en algunos aspectos como</w:t>
      </w:r>
      <w:r w:rsidR="009823FC" w:rsidRPr="007861DC">
        <w:rPr>
          <w:rFonts w:ascii="Times New Roman" w:hAnsi="Times New Roman" w:cs="Times New Roman"/>
          <w:sz w:val="19"/>
          <w:szCs w:val="19"/>
        </w:rPr>
        <w:t>:</w:t>
      </w:r>
      <w:r w:rsidR="00C90B9A" w:rsidRPr="007861DC">
        <w:rPr>
          <w:rFonts w:ascii="Times New Roman" w:hAnsi="Times New Roman" w:cs="Times New Roman"/>
          <w:sz w:val="19"/>
          <w:szCs w:val="19"/>
        </w:rPr>
        <w:t xml:space="preserve"> </w:t>
      </w:r>
      <w:r w:rsidRPr="007861DC">
        <w:rPr>
          <w:rFonts w:ascii="Times New Roman" w:hAnsi="Times New Roman" w:cs="Times New Roman"/>
          <w:sz w:val="19"/>
          <w:szCs w:val="19"/>
        </w:rPr>
        <w:t>incrementar</w:t>
      </w:r>
      <w:r w:rsidR="009823FC" w:rsidRPr="007861DC">
        <w:rPr>
          <w:rFonts w:ascii="Times New Roman" w:hAnsi="Times New Roman" w:cs="Times New Roman"/>
          <w:sz w:val="19"/>
          <w:szCs w:val="19"/>
        </w:rPr>
        <w:t xml:space="preserve"> su auto-estima</w:t>
      </w:r>
      <w:r w:rsidR="00C90B9A" w:rsidRPr="007861DC">
        <w:rPr>
          <w:rFonts w:ascii="Times New Roman" w:hAnsi="Times New Roman" w:cs="Times New Roman"/>
          <w:sz w:val="19"/>
          <w:szCs w:val="19"/>
        </w:rPr>
        <w:t>, e</w:t>
      </w:r>
      <w:r w:rsidR="009823FC" w:rsidRPr="007861DC">
        <w:rPr>
          <w:rFonts w:ascii="Times New Roman" w:hAnsi="Times New Roman" w:cs="Times New Roman"/>
          <w:sz w:val="19"/>
          <w:szCs w:val="19"/>
        </w:rPr>
        <w:t>vitar su deserción escolar</w:t>
      </w:r>
      <w:r w:rsidR="00C90B9A" w:rsidRPr="007861DC">
        <w:rPr>
          <w:rFonts w:ascii="Times New Roman" w:hAnsi="Times New Roman" w:cs="Times New Roman"/>
          <w:sz w:val="19"/>
          <w:szCs w:val="19"/>
        </w:rPr>
        <w:t xml:space="preserve">, </w:t>
      </w:r>
      <w:r w:rsidR="003A4BEE" w:rsidRPr="007861DC">
        <w:rPr>
          <w:rFonts w:ascii="Times New Roman" w:hAnsi="Times New Roman" w:cs="Times New Roman"/>
          <w:sz w:val="19"/>
          <w:szCs w:val="19"/>
        </w:rPr>
        <w:t>impedir</w:t>
      </w:r>
      <w:r w:rsidRPr="007861DC">
        <w:rPr>
          <w:rFonts w:ascii="Times New Roman" w:hAnsi="Times New Roman" w:cs="Times New Roman"/>
          <w:sz w:val="19"/>
          <w:szCs w:val="19"/>
        </w:rPr>
        <w:t>,</w:t>
      </w:r>
      <w:r w:rsidR="003A4BEE" w:rsidRPr="007861DC">
        <w:rPr>
          <w:rFonts w:ascii="Times New Roman" w:hAnsi="Times New Roman" w:cs="Times New Roman"/>
          <w:sz w:val="19"/>
          <w:szCs w:val="19"/>
        </w:rPr>
        <w:t xml:space="preserve"> a </w:t>
      </w:r>
      <w:r w:rsidR="00C90B9A" w:rsidRPr="007861DC">
        <w:rPr>
          <w:rFonts w:ascii="Times New Roman" w:hAnsi="Times New Roman" w:cs="Times New Roman"/>
          <w:sz w:val="19"/>
          <w:szCs w:val="19"/>
        </w:rPr>
        <w:t xml:space="preserve">través de pláticas, que los chicos puedan </w:t>
      </w:r>
      <w:r w:rsidR="009823FC" w:rsidRPr="007861DC">
        <w:rPr>
          <w:rFonts w:ascii="Times New Roman" w:hAnsi="Times New Roman" w:cs="Times New Roman"/>
          <w:sz w:val="19"/>
          <w:szCs w:val="19"/>
        </w:rPr>
        <w:t>caer en drogas, alcohol, violencia y delincuencia</w:t>
      </w:r>
      <w:r w:rsidR="00C90B9A" w:rsidRPr="007861DC">
        <w:rPr>
          <w:rFonts w:ascii="Times New Roman" w:hAnsi="Times New Roman" w:cs="Times New Roman"/>
          <w:sz w:val="19"/>
          <w:szCs w:val="19"/>
        </w:rPr>
        <w:t xml:space="preserve">, </w:t>
      </w:r>
      <w:r w:rsidRPr="007861DC">
        <w:rPr>
          <w:rFonts w:ascii="Times New Roman" w:hAnsi="Times New Roman" w:cs="Times New Roman"/>
          <w:sz w:val="19"/>
          <w:szCs w:val="19"/>
        </w:rPr>
        <w:t>desarrollar</w:t>
      </w:r>
      <w:r w:rsidR="009823FC" w:rsidRPr="007861DC">
        <w:rPr>
          <w:rFonts w:ascii="Times New Roman" w:hAnsi="Times New Roman" w:cs="Times New Roman"/>
          <w:sz w:val="19"/>
          <w:szCs w:val="19"/>
        </w:rPr>
        <w:t xml:space="preserve"> </w:t>
      </w:r>
      <w:r w:rsidRPr="007861DC">
        <w:rPr>
          <w:rFonts w:ascii="Times New Roman" w:hAnsi="Times New Roman" w:cs="Times New Roman"/>
          <w:sz w:val="19"/>
          <w:szCs w:val="19"/>
        </w:rPr>
        <w:t xml:space="preserve"> sus </w:t>
      </w:r>
      <w:r w:rsidR="009823FC" w:rsidRPr="007861DC">
        <w:rPr>
          <w:rFonts w:ascii="Times New Roman" w:hAnsi="Times New Roman" w:cs="Times New Roman"/>
          <w:sz w:val="19"/>
          <w:szCs w:val="19"/>
        </w:rPr>
        <w:t>objetivos</w:t>
      </w:r>
      <w:r w:rsidR="00C90B9A" w:rsidRPr="007861DC">
        <w:rPr>
          <w:rFonts w:ascii="Times New Roman" w:hAnsi="Times New Roman" w:cs="Times New Roman"/>
          <w:sz w:val="19"/>
          <w:szCs w:val="19"/>
        </w:rPr>
        <w:t xml:space="preserve"> y m</w:t>
      </w:r>
      <w:r w:rsidR="009823FC" w:rsidRPr="007861DC">
        <w:rPr>
          <w:rFonts w:ascii="Times New Roman" w:hAnsi="Times New Roman" w:cs="Times New Roman"/>
          <w:sz w:val="19"/>
          <w:szCs w:val="19"/>
        </w:rPr>
        <w:t>ejorar su desempeño académico.</w:t>
      </w:r>
    </w:p>
    <w:p w:rsidR="00DC2C0F" w:rsidRPr="007861DC" w:rsidRDefault="00C90B9A" w:rsidP="00FE6302">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Cabe</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resaltar</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el valor</w:t>
      </w:r>
      <w:r w:rsidR="002F203E" w:rsidRPr="007861DC">
        <w:rPr>
          <w:rFonts w:ascii="Times New Roman" w:hAnsi="Times New Roman" w:cs="Times New Roman"/>
          <w:sz w:val="19"/>
          <w:szCs w:val="19"/>
        </w:rPr>
        <w:t xml:space="preserve"> de los </w:t>
      </w:r>
      <w:r w:rsidR="00964ED5" w:rsidRPr="007861DC">
        <w:rPr>
          <w:rFonts w:ascii="Times New Roman" w:hAnsi="Times New Roman" w:cs="Times New Roman"/>
          <w:sz w:val="19"/>
          <w:szCs w:val="19"/>
        </w:rPr>
        <w:t>jóvenes</w:t>
      </w:r>
      <w:r w:rsidR="002F203E" w:rsidRPr="007861DC">
        <w:rPr>
          <w:rFonts w:ascii="Times New Roman" w:hAnsi="Times New Roman" w:cs="Times New Roman"/>
          <w:sz w:val="19"/>
          <w:szCs w:val="19"/>
        </w:rPr>
        <w:t xml:space="preserve"> en programas de desarrollo social</w:t>
      </w:r>
      <w:r w:rsidRPr="007861DC">
        <w:rPr>
          <w:rFonts w:ascii="Times New Roman" w:hAnsi="Times New Roman" w:cs="Times New Roman"/>
          <w:sz w:val="19"/>
          <w:szCs w:val="19"/>
        </w:rPr>
        <w:t>,</w:t>
      </w:r>
      <w:r w:rsidR="002F203E" w:rsidRPr="007861DC">
        <w:rPr>
          <w:rFonts w:ascii="Times New Roman" w:hAnsi="Times New Roman" w:cs="Times New Roman"/>
          <w:sz w:val="19"/>
          <w:szCs w:val="19"/>
        </w:rPr>
        <w:t xml:space="preserve"> pues  ell</w:t>
      </w:r>
      <w:r w:rsidR="001A62F3" w:rsidRPr="007861DC">
        <w:rPr>
          <w:rFonts w:ascii="Times New Roman" w:hAnsi="Times New Roman" w:cs="Times New Roman"/>
          <w:sz w:val="19"/>
          <w:szCs w:val="19"/>
        </w:rPr>
        <w:t>os son el futuro de la sociedad, p</w:t>
      </w:r>
      <w:r w:rsidRPr="007861DC">
        <w:rPr>
          <w:rFonts w:ascii="Times New Roman" w:hAnsi="Times New Roman" w:cs="Times New Roman"/>
          <w:sz w:val="19"/>
          <w:szCs w:val="19"/>
        </w:rPr>
        <w:t>or lo que</w:t>
      </w:r>
      <w:r w:rsidR="002F203E" w:rsidRPr="007861DC">
        <w:rPr>
          <w:rFonts w:ascii="Times New Roman" w:hAnsi="Times New Roman" w:cs="Times New Roman"/>
          <w:sz w:val="19"/>
          <w:szCs w:val="19"/>
        </w:rPr>
        <w:t xml:space="preserve"> el Ser</w:t>
      </w:r>
      <w:r w:rsidR="00964ED5" w:rsidRPr="007861DC">
        <w:rPr>
          <w:rFonts w:ascii="Times New Roman" w:hAnsi="Times New Roman" w:cs="Times New Roman"/>
          <w:sz w:val="19"/>
          <w:szCs w:val="19"/>
        </w:rPr>
        <w:t xml:space="preserve">vicio Social Comunitario </w:t>
      </w:r>
      <w:r w:rsidRPr="007861DC">
        <w:rPr>
          <w:rFonts w:ascii="Times New Roman" w:hAnsi="Times New Roman" w:cs="Times New Roman"/>
          <w:sz w:val="19"/>
          <w:szCs w:val="19"/>
        </w:rPr>
        <w:t>debe ser t</w:t>
      </w:r>
      <w:r w:rsidR="002F203E" w:rsidRPr="007861DC">
        <w:rPr>
          <w:rFonts w:ascii="Times New Roman" w:hAnsi="Times New Roman" w:cs="Times New Roman"/>
          <w:sz w:val="19"/>
          <w:szCs w:val="19"/>
        </w:rPr>
        <w:t xml:space="preserve">omado </w:t>
      </w:r>
      <w:r w:rsidRPr="007861DC">
        <w:rPr>
          <w:rFonts w:ascii="Times New Roman" w:hAnsi="Times New Roman" w:cs="Times New Roman"/>
          <w:sz w:val="19"/>
          <w:szCs w:val="19"/>
        </w:rPr>
        <w:t xml:space="preserve"> con seriedad, </w:t>
      </w:r>
      <w:r w:rsidR="00964ED5" w:rsidRPr="007861DC">
        <w:rPr>
          <w:rFonts w:ascii="Times New Roman" w:hAnsi="Times New Roman" w:cs="Times New Roman"/>
          <w:sz w:val="19"/>
          <w:szCs w:val="19"/>
        </w:rPr>
        <w:t xml:space="preserve">principalmente en la intervención social con jóvenes orientados </w:t>
      </w:r>
      <w:r w:rsidRPr="007861DC">
        <w:rPr>
          <w:rFonts w:ascii="Times New Roman" w:hAnsi="Times New Roman" w:cs="Times New Roman"/>
          <w:sz w:val="19"/>
          <w:szCs w:val="19"/>
        </w:rPr>
        <w:t>hacia el beneficio social</w:t>
      </w:r>
      <w:r w:rsidR="00964ED5" w:rsidRPr="007861DC">
        <w:rPr>
          <w:rFonts w:ascii="Times New Roman" w:hAnsi="Times New Roman" w:cs="Times New Roman"/>
          <w:sz w:val="19"/>
          <w:szCs w:val="19"/>
        </w:rPr>
        <w:t>.</w:t>
      </w:r>
    </w:p>
    <w:p w:rsidR="001E3171" w:rsidRPr="007861DC" w:rsidRDefault="00623909" w:rsidP="001E3171">
      <w:pPr>
        <w:jc w:val="both"/>
        <w:rPr>
          <w:rFonts w:ascii="Times New Roman" w:hAnsi="Times New Roman" w:cs="Times New Roman"/>
          <w:b/>
          <w:sz w:val="24"/>
          <w:szCs w:val="24"/>
        </w:rPr>
      </w:pPr>
      <w:r w:rsidRPr="007861DC">
        <w:rPr>
          <w:rFonts w:ascii="Times New Roman" w:hAnsi="Times New Roman" w:cs="Times New Roman"/>
          <w:b/>
          <w:sz w:val="24"/>
          <w:szCs w:val="24"/>
        </w:rPr>
        <w:t>Objetivo</w:t>
      </w:r>
    </w:p>
    <w:p w:rsidR="00623909" w:rsidRPr="007861DC" w:rsidRDefault="001E3171" w:rsidP="00EB0FBE">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El objetivo de ésta investigación es analizar el aprendizaje del estudiante en el Servicio Social Comunitario </w:t>
      </w:r>
      <w:r w:rsidR="00C90B9A" w:rsidRPr="007861DC">
        <w:rPr>
          <w:rFonts w:ascii="Times New Roman" w:hAnsi="Times New Roman" w:cs="Times New Roman"/>
          <w:sz w:val="19"/>
          <w:szCs w:val="19"/>
        </w:rPr>
        <w:t xml:space="preserve"> UJAT-</w:t>
      </w:r>
      <w:proofErr w:type="spellStart"/>
      <w:r w:rsidR="00C90B9A" w:rsidRPr="007861DC">
        <w:rPr>
          <w:rFonts w:ascii="Times New Roman" w:hAnsi="Times New Roman" w:cs="Times New Roman"/>
          <w:sz w:val="19"/>
          <w:szCs w:val="19"/>
        </w:rPr>
        <w:t>Peraj</w:t>
      </w:r>
      <w:proofErr w:type="spellEnd"/>
      <w:r w:rsidR="00C90B9A" w:rsidRPr="007861DC">
        <w:rPr>
          <w:rFonts w:ascii="Times New Roman" w:hAnsi="Times New Roman" w:cs="Times New Roman"/>
          <w:sz w:val="19"/>
          <w:szCs w:val="19"/>
        </w:rPr>
        <w:t xml:space="preserve"> adopta un </w:t>
      </w:r>
      <w:proofErr w:type="spellStart"/>
      <w:r w:rsidR="00C90B9A" w:rsidRPr="007861DC">
        <w:rPr>
          <w:rFonts w:ascii="Times New Roman" w:hAnsi="Times New Roman" w:cs="Times New Roman"/>
          <w:sz w:val="19"/>
          <w:szCs w:val="19"/>
        </w:rPr>
        <w:t>amig</w:t>
      </w:r>
      <w:proofErr w:type="spellEnd"/>
      <w:r w:rsidR="00157C53" w:rsidRPr="007861DC">
        <w:rPr>
          <w:rFonts w:ascii="Times New Roman" w:hAnsi="Times New Roman" w:cs="Times New Roman"/>
          <w:sz w:val="19"/>
          <w:szCs w:val="19"/>
        </w:rPr>
        <w:t>@ en las áreas económico administrativas</w:t>
      </w:r>
      <w:r w:rsidR="00217E0A" w:rsidRPr="007861DC">
        <w:rPr>
          <w:rFonts w:ascii="Times New Roman" w:hAnsi="Times New Roman" w:cs="Times New Roman"/>
          <w:sz w:val="19"/>
          <w:szCs w:val="19"/>
        </w:rPr>
        <w:t>.</w:t>
      </w:r>
    </w:p>
    <w:p w:rsidR="001E3171" w:rsidRPr="007861DC" w:rsidRDefault="00623909" w:rsidP="001E3171">
      <w:pPr>
        <w:jc w:val="both"/>
        <w:rPr>
          <w:rFonts w:ascii="Times New Roman" w:hAnsi="Times New Roman" w:cs="Times New Roman"/>
          <w:b/>
          <w:sz w:val="24"/>
          <w:szCs w:val="24"/>
        </w:rPr>
      </w:pPr>
      <w:r w:rsidRPr="007861DC">
        <w:rPr>
          <w:rFonts w:ascii="Times New Roman" w:hAnsi="Times New Roman" w:cs="Times New Roman"/>
          <w:b/>
          <w:sz w:val="24"/>
          <w:szCs w:val="24"/>
        </w:rPr>
        <w:t>Metodología</w:t>
      </w:r>
    </w:p>
    <w:p w:rsidR="001E3171" w:rsidRPr="007861DC" w:rsidRDefault="001E3171" w:rsidP="00623909">
      <w:pPr>
        <w:jc w:val="both"/>
        <w:rPr>
          <w:rFonts w:ascii="Times New Roman" w:hAnsi="Times New Roman" w:cs="Times New Roman"/>
          <w:sz w:val="19"/>
          <w:szCs w:val="19"/>
        </w:rPr>
      </w:pPr>
      <w:r w:rsidRPr="007861DC">
        <w:rPr>
          <w:rFonts w:ascii="Times New Roman" w:hAnsi="Times New Roman" w:cs="Times New Roman"/>
          <w:sz w:val="19"/>
          <w:szCs w:val="19"/>
        </w:rPr>
        <w:t xml:space="preserve">Esta investigación presenta un enfoque cuantitativo de tipo descriptivo, en el cual se detallarán </w:t>
      </w:r>
      <w:r w:rsidR="00C90B9A" w:rsidRPr="007861DC">
        <w:rPr>
          <w:rFonts w:ascii="Times New Roman" w:hAnsi="Times New Roman" w:cs="Times New Roman"/>
          <w:sz w:val="19"/>
          <w:szCs w:val="19"/>
        </w:rPr>
        <w:t>las diferentes</w:t>
      </w:r>
      <w:r w:rsidRPr="007861DC">
        <w:rPr>
          <w:rFonts w:ascii="Times New Roman" w:hAnsi="Times New Roman" w:cs="Times New Roman"/>
          <w:sz w:val="19"/>
          <w:szCs w:val="19"/>
        </w:rPr>
        <w:t xml:space="preserve"> características de la población objeto de estudio: prestadores de servicio social comunitario de las car</w:t>
      </w:r>
      <w:r w:rsidR="001A62F3" w:rsidRPr="007861DC">
        <w:rPr>
          <w:rFonts w:ascii="Times New Roman" w:hAnsi="Times New Roman" w:cs="Times New Roman"/>
          <w:sz w:val="19"/>
          <w:szCs w:val="19"/>
        </w:rPr>
        <w:t xml:space="preserve">reras económico-administrativas; </w:t>
      </w:r>
      <w:r w:rsidR="00FE6302" w:rsidRPr="007861DC">
        <w:rPr>
          <w:rFonts w:ascii="Times New Roman" w:hAnsi="Times New Roman" w:cs="Times New Roman"/>
          <w:sz w:val="19"/>
          <w:szCs w:val="19"/>
        </w:rPr>
        <w:t xml:space="preserve">se </w:t>
      </w:r>
      <w:r w:rsidR="0037039D" w:rsidRPr="007861DC">
        <w:rPr>
          <w:rFonts w:ascii="Times New Roman" w:hAnsi="Times New Roman" w:cs="Times New Roman"/>
          <w:sz w:val="19"/>
          <w:szCs w:val="19"/>
        </w:rPr>
        <w:t xml:space="preserve"> utilizó como instrumento un cuestionario  aplicado a estudiantes del Servicio Social Comunitario UJAT-</w:t>
      </w:r>
      <w:proofErr w:type="spellStart"/>
      <w:r w:rsidR="0037039D" w:rsidRPr="007861DC">
        <w:rPr>
          <w:rFonts w:ascii="Times New Roman" w:hAnsi="Times New Roman" w:cs="Times New Roman"/>
          <w:sz w:val="19"/>
          <w:szCs w:val="19"/>
        </w:rPr>
        <w:t>Peraj</w:t>
      </w:r>
      <w:proofErr w:type="spellEnd"/>
      <w:r w:rsidR="0037039D" w:rsidRPr="007861DC">
        <w:rPr>
          <w:rFonts w:ascii="Times New Roman" w:hAnsi="Times New Roman" w:cs="Times New Roman"/>
          <w:sz w:val="19"/>
          <w:szCs w:val="19"/>
        </w:rPr>
        <w:t xml:space="preserve">, adopta un amigo, </w:t>
      </w:r>
      <w:r w:rsidR="001A62F3" w:rsidRPr="007861DC">
        <w:rPr>
          <w:rFonts w:ascii="Times New Roman" w:hAnsi="Times New Roman" w:cs="Times New Roman"/>
          <w:sz w:val="19"/>
          <w:szCs w:val="19"/>
        </w:rPr>
        <w:t>empleando</w:t>
      </w:r>
      <w:r w:rsidR="0037039D" w:rsidRPr="007861DC">
        <w:rPr>
          <w:rFonts w:ascii="Times New Roman" w:hAnsi="Times New Roman" w:cs="Times New Roman"/>
          <w:sz w:val="19"/>
          <w:szCs w:val="19"/>
        </w:rPr>
        <w:t xml:space="preserve"> como variables las difere</w:t>
      </w:r>
      <w:r w:rsidR="00951141" w:rsidRPr="007861DC">
        <w:rPr>
          <w:rFonts w:ascii="Times New Roman" w:hAnsi="Times New Roman" w:cs="Times New Roman"/>
          <w:sz w:val="19"/>
          <w:szCs w:val="19"/>
        </w:rPr>
        <w:t>ntes formas de aprendizaje como</w:t>
      </w:r>
      <w:r w:rsidR="0037039D" w:rsidRPr="007861DC">
        <w:rPr>
          <w:rFonts w:ascii="Times New Roman" w:hAnsi="Times New Roman" w:cs="Times New Roman"/>
          <w:sz w:val="19"/>
          <w:szCs w:val="19"/>
        </w:rPr>
        <w:t xml:space="preserve"> Aprendizaje en el Desarrollo Profesional, Aprendizaje en el Desarrollo Social y Aprendizaje en cuanto a Comunicación y Conocimiento para llevar a cabo posteriormente el análisis estadístico a través del paquete estadístico SPSS.</w:t>
      </w:r>
    </w:p>
    <w:p w:rsidR="001C5474" w:rsidRPr="00C37F15" w:rsidRDefault="00EF0790" w:rsidP="007861DC">
      <w:pPr>
        <w:ind w:firstLine="708"/>
        <w:jc w:val="both"/>
        <w:rPr>
          <w:rFonts w:ascii="Times New Roman" w:hAnsi="Times New Roman" w:cs="Times New Roman"/>
          <w:sz w:val="19"/>
          <w:szCs w:val="19"/>
        </w:rPr>
      </w:pPr>
      <w:r>
        <w:rPr>
          <w:rFonts w:ascii="Times New Roman" w:hAnsi="Times New Roman" w:cs="Times New Roman"/>
          <w:sz w:val="19"/>
          <w:szCs w:val="19"/>
        </w:rPr>
        <w:t>El Aprendizaje en el Desarrollo P</w:t>
      </w:r>
      <w:r w:rsidR="007861DC" w:rsidRPr="007861DC">
        <w:rPr>
          <w:rFonts w:ascii="Times New Roman" w:hAnsi="Times New Roman" w:cs="Times New Roman"/>
          <w:sz w:val="19"/>
          <w:szCs w:val="19"/>
        </w:rPr>
        <w:t>rofesional se obtiene a través de prácticas vivenciales en la sociedad, estableciendo diferencias entre el aula de clases y los métodos de enseñanza</w:t>
      </w:r>
      <w:r w:rsidR="007861DC">
        <w:rPr>
          <w:rFonts w:ascii="Times New Roman" w:hAnsi="Times New Roman" w:cs="Times New Roman"/>
          <w:sz w:val="19"/>
          <w:szCs w:val="19"/>
        </w:rPr>
        <w:t xml:space="preserve"> tradicional</w:t>
      </w:r>
      <w:r w:rsidR="007861DC" w:rsidRPr="007861DC">
        <w:rPr>
          <w:rFonts w:ascii="Times New Roman" w:hAnsi="Times New Roman" w:cs="Times New Roman"/>
          <w:sz w:val="19"/>
          <w:szCs w:val="19"/>
        </w:rPr>
        <w:t>.</w:t>
      </w:r>
      <w:r w:rsidR="007861DC">
        <w:rPr>
          <w:rFonts w:ascii="Times New Roman" w:hAnsi="Times New Roman" w:cs="Times New Roman"/>
          <w:sz w:val="19"/>
          <w:szCs w:val="19"/>
        </w:rPr>
        <w:t xml:space="preserve"> </w:t>
      </w:r>
      <w:r>
        <w:rPr>
          <w:rFonts w:ascii="Times New Roman" w:hAnsi="Times New Roman" w:cs="Times New Roman"/>
          <w:sz w:val="19"/>
          <w:szCs w:val="19"/>
        </w:rPr>
        <w:t>El Aprendizaje en el D</w:t>
      </w:r>
      <w:r w:rsidR="001C5474" w:rsidRPr="001C5474">
        <w:rPr>
          <w:rFonts w:ascii="Times New Roman" w:hAnsi="Times New Roman" w:cs="Times New Roman"/>
          <w:sz w:val="19"/>
          <w:szCs w:val="19"/>
        </w:rPr>
        <w:t>esarroll</w:t>
      </w:r>
      <w:r>
        <w:rPr>
          <w:rFonts w:ascii="Times New Roman" w:hAnsi="Times New Roman" w:cs="Times New Roman"/>
          <w:sz w:val="19"/>
          <w:szCs w:val="19"/>
        </w:rPr>
        <w:t>o S</w:t>
      </w:r>
      <w:r w:rsidR="001C5474" w:rsidRPr="001C5474">
        <w:rPr>
          <w:rFonts w:ascii="Times New Roman" w:hAnsi="Times New Roman" w:cs="Times New Roman"/>
          <w:sz w:val="19"/>
          <w:szCs w:val="19"/>
        </w:rPr>
        <w:t xml:space="preserve">ocial </w:t>
      </w:r>
      <w:r w:rsidR="007861DC">
        <w:rPr>
          <w:rFonts w:ascii="Times New Roman" w:hAnsi="Times New Roman" w:cs="Times New Roman"/>
          <w:sz w:val="19"/>
          <w:szCs w:val="19"/>
        </w:rPr>
        <w:t>es la manera en que</w:t>
      </w:r>
      <w:r w:rsidR="001C5474" w:rsidRPr="001C5474">
        <w:rPr>
          <w:rFonts w:ascii="Times New Roman" w:hAnsi="Times New Roman" w:cs="Times New Roman"/>
          <w:sz w:val="19"/>
          <w:szCs w:val="19"/>
        </w:rPr>
        <w:t xml:space="preserve"> las personas aprenden nuevas conductas </w:t>
      </w:r>
      <w:r w:rsidR="007861DC">
        <w:rPr>
          <w:rFonts w:ascii="Times New Roman" w:hAnsi="Times New Roman" w:cs="Times New Roman"/>
          <w:sz w:val="19"/>
          <w:szCs w:val="19"/>
        </w:rPr>
        <w:t xml:space="preserve">a través del refuerzo, </w:t>
      </w:r>
      <w:r w:rsidR="001C5474" w:rsidRPr="001C5474">
        <w:rPr>
          <w:rFonts w:ascii="Times New Roman" w:hAnsi="Times New Roman" w:cs="Times New Roman"/>
          <w:sz w:val="19"/>
          <w:szCs w:val="19"/>
        </w:rPr>
        <w:t xml:space="preserve">del aprendizaje </w:t>
      </w:r>
      <w:r w:rsidR="001C5474" w:rsidRPr="001C5474">
        <w:rPr>
          <w:rFonts w:ascii="Times New Roman" w:hAnsi="Times New Roman" w:cs="Times New Roman"/>
          <w:sz w:val="19"/>
          <w:szCs w:val="19"/>
        </w:rPr>
        <w:lastRenderedPageBreak/>
        <w:t>observacional</w:t>
      </w:r>
      <w:r w:rsidR="007861DC">
        <w:rPr>
          <w:rFonts w:ascii="Times New Roman" w:hAnsi="Times New Roman" w:cs="Times New Roman"/>
          <w:sz w:val="19"/>
          <w:szCs w:val="19"/>
        </w:rPr>
        <w:t xml:space="preserve"> y</w:t>
      </w:r>
      <w:r w:rsidR="001C5474" w:rsidRPr="001C5474">
        <w:rPr>
          <w:rFonts w:ascii="Times New Roman" w:hAnsi="Times New Roman" w:cs="Times New Roman"/>
          <w:sz w:val="19"/>
          <w:szCs w:val="19"/>
        </w:rPr>
        <w:t xml:space="preserve"> de los factores sociales de su entorno. Si las personas ven consecuencias deseables y positivas en la conducta observada, es probable que la imiten, tomen como modelo y adopten.</w:t>
      </w:r>
      <w:r w:rsidR="007861DC">
        <w:rPr>
          <w:rFonts w:ascii="Times New Roman" w:hAnsi="Times New Roman" w:cs="Times New Roman"/>
          <w:sz w:val="19"/>
          <w:szCs w:val="19"/>
        </w:rPr>
        <w:t xml:space="preserve"> </w:t>
      </w:r>
      <w:r w:rsidR="001C5474" w:rsidRPr="001C5474">
        <w:rPr>
          <w:rFonts w:ascii="Times New Roman" w:hAnsi="Times New Roman" w:cs="Times New Roman"/>
          <w:sz w:val="19"/>
          <w:szCs w:val="19"/>
        </w:rPr>
        <w:t xml:space="preserve">El </w:t>
      </w:r>
      <w:r>
        <w:rPr>
          <w:rFonts w:ascii="Times New Roman" w:hAnsi="Times New Roman" w:cs="Times New Roman"/>
          <w:sz w:val="19"/>
          <w:szCs w:val="19"/>
        </w:rPr>
        <w:t>A</w:t>
      </w:r>
      <w:r w:rsidR="001C5474" w:rsidRPr="001C5474">
        <w:rPr>
          <w:rFonts w:ascii="Times New Roman" w:hAnsi="Times New Roman" w:cs="Times New Roman"/>
          <w:sz w:val="19"/>
          <w:szCs w:val="19"/>
        </w:rPr>
        <w:t xml:space="preserve">prendizaje en cuanto </w:t>
      </w:r>
      <w:r>
        <w:rPr>
          <w:rFonts w:ascii="Times New Roman" w:hAnsi="Times New Roman" w:cs="Times New Roman"/>
          <w:sz w:val="19"/>
          <w:szCs w:val="19"/>
        </w:rPr>
        <w:t>a Comunicación y C</w:t>
      </w:r>
      <w:r w:rsidR="007861DC">
        <w:rPr>
          <w:rFonts w:ascii="Times New Roman" w:hAnsi="Times New Roman" w:cs="Times New Roman"/>
          <w:sz w:val="19"/>
          <w:szCs w:val="19"/>
        </w:rPr>
        <w:t>onocimiento constituye</w:t>
      </w:r>
      <w:r w:rsidR="001C5474" w:rsidRPr="001C5474">
        <w:rPr>
          <w:rFonts w:ascii="Times New Roman" w:hAnsi="Times New Roman" w:cs="Times New Roman"/>
          <w:sz w:val="19"/>
          <w:szCs w:val="19"/>
        </w:rPr>
        <w:t xml:space="preserve"> una experiencia individual para cada persona este tipo de aprendizaje</w:t>
      </w:r>
      <w:r w:rsidR="007861DC">
        <w:rPr>
          <w:rFonts w:ascii="Times New Roman" w:hAnsi="Times New Roman" w:cs="Times New Roman"/>
          <w:sz w:val="19"/>
          <w:szCs w:val="19"/>
        </w:rPr>
        <w:t>, ya que</w:t>
      </w:r>
      <w:r w:rsidR="001C5474" w:rsidRPr="001C5474">
        <w:rPr>
          <w:rFonts w:ascii="Times New Roman" w:hAnsi="Times New Roman" w:cs="Times New Roman"/>
          <w:sz w:val="19"/>
          <w:szCs w:val="19"/>
        </w:rPr>
        <w:t xml:space="preserve"> modifica el comportamiento de un individuo</w:t>
      </w:r>
      <w:r w:rsidR="007861DC">
        <w:rPr>
          <w:rFonts w:ascii="Times New Roman" w:hAnsi="Times New Roman" w:cs="Times New Roman"/>
          <w:sz w:val="19"/>
          <w:szCs w:val="19"/>
        </w:rPr>
        <w:t xml:space="preserve"> </w:t>
      </w:r>
      <w:r w:rsidR="001C5474">
        <w:rPr>
          <w:rFonts w:ascii="Times New Roman" w:hAnsi="Times New Roman" w:cs="Times New Roman"/>
          <w:sz w:val="19"/>
          <w:szCs w:val="19"/>
        </w:rPr>
        <w:t>(</w:t>
      </w:r>
      <w:proofErr w:type="spellStart"/>
      <w:r w:rsidR="001C5474">
        <w:rPr>
          <w:rFonts w:ascii="Times New Roman" w:hAnsi="Times New Roman" w:cs="Times New Roman"/>
          <w:sz w:val="19"/>
          <w:szCs w:val="19"/>
        </w:rPr>
        <w:t>Aguaded</w:t>
      </w:r>
      <w:proofErr w:type="spellEnd"/>
      <w:r w:rsidR="001C5474">
        <w:rPr>
          <w:rFonts w:ascii="Times New Roman" w:hAnsi="Times New Roman" w:cs="Times New Roman"/>
          <w:sz w:val="19"/>
          <w:szCs w:val="19"/>
        </w:rPr>
        <w:t>, y Martínez-</w:t>
      </w:r>
      <w:proofErr w:type="spellStart"/>
      <w:r w:rsidR="001C5474">
        <w:rPr>
          <w:rFonts w:ascii="Times New Roman" w:hAnsi="Times New Roman" w:cs="Times New Roman"/>
          <w:sz w:val="19"/>
          <w:szCs w:val="19"/>
        </w:rPr>
        <w:t>Salanova</w:t>
      </w:r>
      <w:proofErr w:type="spellEnd"/>
      <w:r w:rsidR="001C5474">
        <w:rPr>
          <w:rFonts w:ascii="Times New Roman" w:hAnsi="Times New Roman" w:cs="Times New Roman"/>
          <w:sz w:val="19"/>
          <w:szCs w:val="19"/>
        </w:rPr>
        <w:t xml:space="preserve">, </w:t>
      </w:r>
      <w:r w:rsidR="001C5474" w:rsidRPr="001C5474">
        <w:rPr>
          <w:rFonts w:ascii="Times New Roman" w:hAnsi="Times New Roman" w:cs="Times New Roman"/>
          <w:sz w:val="19"/>
          <w:szCs w:val="19"/>
        </w:rPr>
        <w:t>1998).</w:t>
      </w:r>
    </w:p>
    <w:p w:rsidR="00D95E54" w:rsidRPr="007861DC" w:rsidRDefault="00D95E54" w:rsidP="00F96E38">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Según </w:t>
      </w:r>
      <w:r w:rsidR="00F05051" w:rsidRPr="007861DC">
        <w:rPr>
          <w:rFonts w:ascii="Times New Roman" w:hAnsi="Times New Roman" w:cs="Times New Roman"/>
          <w:sz w:val="19"/>
          <w:szCs w:val="19"/>
        </w:rPr>
        <w:t>Hernández, Fernández y Baptista, (2010) e</w:t>
      </w:r>
      <w:r w:rsidR="0037039D" w:rsidRPr="007861DC">
        <w:rPr>
          <w:rFonts w:ascii="Times New Roman" w:hAnsi="Times New Roman" w:cs="Times New Roman"/>
          <w:sz w:val="19"/>
          <w:szCs w:val="19"/>
        </w:rPr>
        <w:t xml:space="preserve">l análisis cuantitativo utiliza </w:t>
      </w:r>
      <w:r w:rsidRPr="007861DC">
        <w:rPr>
          <w:rFonts w:ascii="Times New Roman" w:hAnsi="Times New Roman" w:cs="Times New Roman"/>
          <w:sz w:val="19"/>
          <w:szCs w:val="19"/>
        </w:rPr>
        <w:t>la recolección de datos, con base en la medición numérica y el análisis estadístico, para establecer</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patrones de comportamiento</w:t>
      </w:r>
      <w:r w:rsidR="00F05051" w:rsidRPr="007861DC">
        <w:rPr>
          <w:rFonts w:ascii="Times New Roman" w:hAnsi="Times New Roman" w:cs="Times New Roman"/>
          <w:sz w:val="19"/>
          <w:szCs w:val="19"/>
        </w:rPr>
        <w:t xml:space="preserve"> y así poder determinar las variables requeridas para la investigación.</w:t>
      </w:r>
      <w:r w:rsidR="00F96E38" w:rsidRPr="007861DC">
        <w:rPr>
          <w:rFonts w:ascii="Times New Roman" w:hAnsi="Times New Roman" w:cs="Times New Roman"/>
          <w:sz w:val="19"/>
          <w:szCs w:val="19"/>
        </w:rPr>
        <w:t xml:space="preserve"> A su vez</w:t>
      </w:r>
      <w:r w:rsidR="00723BFF" w:rsidRPr="007861DC">
        <w:rPr>
          <w:rFonts w:ascii="Times New Roman" w:hAnsi="Times New Roman" w:cs="Times New Roman"/>
          <w:sz w:val="19"/>
          <w:szCs w:val="19"/>
        </w:rPr>
        <w:t>,</w:t>
      </w:r>
      <w:r w:rsidR="00F96E38" w:rsidRPr="007861DC">
        <w:rPr>
          <w:rFonts w:ascii="Times New Roman" w:hAnsi="Times New Roman" w:cs="Times New Roman"/>
          <w:sz w:val="19"/>
          <w:szCs w:val="19"/>
        </w:rPr>
        <w:t xml:space="preserve"> al integrar el tipo descriptivo se toman en cuenta estos datos para </w:t>
      </w:r>
      <w:proofErr w:type="spellStart"/>
      <w:r w:rsidRPr="007861DC">
        <w:rPr>
          <w:rFonts w:ascii="Times New Roman" w:hAnsi="Times New Roman" w:cs="Times New Roman"/>
          <w:sz w:val="19"/>
          <w:szCs w:val="19"/>
        </w:rPr>
        <w:t>especiﬁcar</w:t>
      </w:r>
      <w:proofErr w:type="spellEnd"/>
      <w:r w:rsidRPr="007861DC">
        <w:rPr>
          <w:rFonts w:ascii="Times New Roman" w:hAnsi="Times New Roman" w:cs="Times New Roman"/>
          <w:sz w:val="19"/>
          <w:szCs w:val="19"/>
        </w:rPr>
        <w:t xml:space="preserve"> las propiedades, las características y los </w:t>
      </w:r>
      <w:proofErr w:type="spellStart"/>
      <w:r w:rsidRPr="007861DC">
        <w:rPr>
          <w:rFonts w:ascii="Times New Roman" w:hAnsi="Times New Roman" w:cs="Times New Roman"/>
          <w:sz w:val="19"/>
          <w:szCs w:val="19"/>
        </w:rPr>
        <w:t>perﬁles</w:t>
      </w:r>
      <w:proofErr w:type="spellEnd"/>
      <w:r w:rsidRPr="007861DC">
        <w:rPr>
          <w:rFonts w:ascii="Times New Roman" w:hAnsi="Times New Roman" w:cs="Times New Roman"/>
          <w:sz w:val="19"/>
          <w:szCs w:val="19"/>
        </w:rPr>
        <w:t xml:space="preserve"> de personas, grupos, comunidades, procesos, objetos o cualquier otro fenómeno</w:t>
      </w:r>
      <w:r w:rsidR="00723BFF" w:rsidRPr="007861DC">
        <w:rPr>
          <w:rFonts w:ascii="Times New Roman" w:hAnsi="Times New Roman" w:cs="Times New Roman"/>
          <w:sz w:val="19"/>
          <w:szCs w:val="19"/>
        </w:rPr>
        <w:t xml:space="preserve"> </w:t>
      </w:r>
      <w:r w:rsidR="00F96E38" w:rsidRPr="007861DC">
        <w:rPr>
          <w:rFonts w:ascii="Times New Roman" w:hAnsi="Times New Roman" w:cs="Times New Roman"/>
          <w:sz w:val="19"/>
          <w:szCs w:val="19"/>
        </w:rPr>
        <w:t>que se someta para su</w:t>
      </w:r>
      <w:r w:rsidRPr="007861DC">
        <w:rPr>
          <w:rFonts w:ascii="Times New Roman" w:hAnsi="Times New Roman" w:cs="Times New Roman"/>
          <w:sz w:val="19"/>
          <w:szCs w:val="19"/>
        </w:rPr>
        <w:t> análisis,</w:t>
      </w:r>
      <w:r w:rsidR="00F96E38" w:rsidRPr="007861DC">
        <w:rPr>
          <w:rFonts w:ascii="Times New Roman" w:hAnsi="Times New Roman" w:cs="Times New Roman"/>
          <w:sz w:val="19"/>
          <w:szCs w:val="19"/>
        </w:rPr>
        <w:t xml:space="preserve"> ya que nos sirve </w:t>
      </w:r>
      <w:r w:rsidRPr="007861DC">
        <w:rPr>
          <w:rFonts w:ascii="Times New Roman" w:hAnsi="Times New Roman" w:cs="Times New Roman"/>
          <w:sz w:val="19"/>
          <w:szCs w:val="19"/>
        </w:rPr>
        <w:t>para analizar</w:t>
      </w:r>
      <w:r w:rsidR="00723BFF" w:rsidRPr="007861DC">
        <w:rPr>
          <w:rFonts w:ascii="Times New Roman" w:hAnsi="Times New Roman" w:cs="Times New Roman"/>
          <w:sz w:val="19"/>
          <w:szCs w:val="19"/>
        </w:rPr>
        <w:t xml:space="preserve"> </w:t>
      </w:r>
      <w:r w:rsidRPr="007861DC">
        <w:rPr>
          <w:rFonts w:ascii="Times New Roman" w:hAnsi="Times New Roman" w:cs="Times New Roman"/>
          <w:sz w:val="19"/>
          <w:szCs w:val="19"/>
        </w:rPr>
        <w:t xml:space="preserve">cómo es y cómo se </w:t>
      </w:r>
      <w:proofErr w:type="spellStart"/>
      <w:r w:rsidRPr="007861DC">
        <w:rPr>
          <w:rFonts w:ascii="Times New Roman" w:hAnsi="Times New Roman" w:cs="Times New Roman"/>
          <w:sz w:val="19"/>
          <w:szCs w:val="19"/>
        </w:rPr>
        <w:t>maniﬁesta</w:t>
      </w:r>
      <w:proofErr w:type="spellEnd"/>
      <w:r w:rsidRPr="007861DC">
        <w:rPr>
          <w:rFonts w:ascii="Times New Roman" w:hAnsi="Times New Roman" w:cs="Times New Roman"/>
          <w:sz w:val="19"/>
          <w:szCs w:val="19"/>
        </w:rPr>
        <w:t xml:space="preserve"> un fenómeno </w:t>
      </w:r>
      <w:r w:rsidR="00F96E38" w:rsidRPr="007861DC">
        <w:rPr>
          <w:rFonts w:ascii="Times New Roman" w:hAnsi="Times New Roman" w:cs="Times New Roman"/>
          <w:sz w:val="19"/>
          <w:szCs w:val="19"/>
        </w:rPr>
        <w:t>y c</w:t>
      </w:r>
      <w:r w:rsidR="00951141" w:rsidRPr="007861DC">
        <w:rPr>
          <w:rFonts w:ascii="Times New Roman" w:hAnsi="Times New Roman" w:cs="Times New Roman"/>
          <w:sz w:val="19"/>
          <w:szCs w:val="19"/>
        </w:rPr>
        <w:t>ó</w:t>
      </w:r>
      <w:r w:rsidR="00F96E38" w:rsidRPr="007861DC">
        <w:rPr>
          <w:rFonts w:ascii="Times New Roman" w:hAnsi="Times New Roman" w:cs="Times New Roman"/>
          <w:sz w:val="19"/>
          <w:szCs w:val="19"/>
        </w:rPr>
        <w:t>mo está compuesto</w:t>
      </w:r>
      <w:r w:rsidRPr="007861DC">
        <w:rPr>
          <w:rFonts w:ascii="Times New Roman" w:hAnsi="Times New Roman" w:cs="Times New Roman"/>
          <w:sz w:val="19"/>
          <w:szCs w:val="19"/>
        </w:rPr>
        <w:t>.</w:t>
      </w:r>
    </w:p>
    <w:p w:rsidR="00412A50" w:rsidRPr="007861DC" w:rsidRDefault="0037039D" w:rsidP="00812090">
      <w:pPr>
        <w:ind w:firstLine="708"/>
        <w:jc w:val="both"/>
        <w:rPr>
          <w:rFonts w:ascii="Times New Roman" w:hAnsi="Times New Roman" w:cs="Times New Roman"/>
          <w:sz w:val="19"/>
          <w:szCs w:val="19"/>
        </w:rPr>
      </w:pPr>
      <w:r w:rsidRPr="007861DC">
        <w:rPr>
          <w:rFonts w:ascii="Times New Roman" w:hAnsi="Times New Roman" w:cs="Times New Roman"/>
          <w:sz w:val="19"/>
          <w:szCs w:val="19"/>
        </w:rPr>
        <w:t>La población, objeto de estudio fueron</w:t>
      </w:r>
      <w:r w:rsidR="00A544DB" w:rsidRPr="007861DC">
        <w:rPr>
          <w:rFonts w:ascii="Times New Roman" w:hAnsi="Times New Roman" w:cs="Times New Roman"/>
          <w:sz w:val="19"/>
          <w:szCs w:val="19"/>
        </w:rPr>
        <w:t xml:space="preserve"> </w:t>
      </w:r>
      <w:r w:rsidR="00290598" w:rsidRPr="007861DC">
        <w:rPr>
          <w:rFonts w:ascii="Times New Roman" w:hAnsi="Times New Roman" w:cs="Times New Roman"/>
          <w:sz w:val="19"/>
          <w:szCs w:val="19"/>
        </w:rPr>
        <w:t>21 e</w:t>
      </w:r>
      <w:r w:rsidR="001E3171" w:rsidRPr="007861DC">
        <w:rPr>
          <w:rFonts w:ascii="Times New Roman" w:hAnsi="Times New Roman" w:cs="Times New Roman"/>
          <w:sz w:val="19"/>
          <w:szCs w:val="19"/>
        </w:rPr>
        <w:t xml:space="preserve">studiantes prestadores del servicio social comunitario  en las </w:t>
      </w:r>
      <w:r w:rsidRPr="007861DC">
        <w:rPr>
          <w:rFonts w:ascii="Times New Roman" w:hAnsi="Times New Roman" w:cs="Times New Roman"/>
          <w:sz w:val="19"/>
          <w:szCs w:val="19"/>
        </w:rPr>
        <w:t xml:space="preserve"> diferentes </w:t>
      </w:r>
      <w:r w:rsidR="001E3171" w:rsidRPr="007861DC">
        <w:rPr>
          <w:rFonts w:ascii="Times New Roman" w:hAnsi="Times New Roman" w:cs="Times New Roman"/>
          <w:sz w:val="19"/>
          <w:szCs w:val="19"/>
        </w:rPr>
        <w:t>carreras</w:t>
      </w:r>
      <w:r w:rsidRPr="007861DC">
        <w:rPr>
          <w:rFonts w:ascii="Times New Roman" w:hAnsi="Times New Roman" w:cs="Times New Roman"/>
          <w:sz w:val="19"/>
          <w:szCs w:val="19"/>
        </w:rPr>
        <w:t xml:space="preserve"> de</w:t>
      </w:r>
      <w:r w:rsidR="00A544DB" w:rsidRPr="007861DC">
        <w:rPr>
          <w:rFonts w:ascii="Times New Roman" w:hAnsi="Times New Roman" w:cs="Times New Roman"/>
          <w:sz w:val="19"/>
          <w:szCs w:val="19"/>
        </w:rPr>
        <w:t xml:space="preserve">l área </w:t>
      </w:r>
      <w:proofErr w:type="gramStart"/>
      <w:r w:rsidR="00A544DB" w:rsidRPr="007861DC">
        <w:rPr>
          <w:rFonts w:ascii="Times New Roman" w:hAnsi="Times New Roman" w:cs="Times New Roman"/>
          <w:sz w:val="19"/>
          <w:szCs w:val="19"/>
        </w:rPr>
        <w:t>económico</w:t>
      </w:r>
      <w:proofErr w:type="gramEnd"/>
      <w:r w:rsidR="00A544DB" w:rsidRPr="007861DC">
        <w:rPr>
          <w:rFonts w:ascii="Times New Roman" w:hAnsi="Times New Roman" w:cs="Times New Roman"/>
          <w:sz w:val="19"/>
          <w:szCs w:val="19"/>
        </w:rPr>
        <w:t xml:space="preserve"> administrativa</w:t>
      </w:r>
      <w:r w:rsidR="001E3171"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A544DB" w:rsidRPr="007861DC">
        <w:rPr>
          <w:rFonts w:ascii="Times New Roman" w:hAnsi="Times New Roman" w:cs="Times New Roman"/>
          <w:sz w:val="19"/>
          <w:szCs w:val="19"/>
        </w:rPr>
        <w:t>Siendo una</w:t>
      </w:r>
      <w:r w:rsidR="00E52220" w:rsidRPr="007861DC">
        <w:rPr>
          <w:rFonts w:ascii="Times New Roman" w:hAnsi="Times New Roman" w:cs="Times New Roman"/>
          <w:sz w:val="19"/>
          <w:szCs w:val="19"/>
        </w:rPr>
        <w:t xml:space="preserve"> p</w:t>
      </w:r>
      <w:r w:rsidR="0014700F" w:rsidRPr="007861DC">
        <w:rPr>
          <w:rFonts w:ascii="Times New Roman" w:hAnsi="Times New Roman" w:cs="Times New Roman"/>
          <w:sz w:val="19"/>
          <w:szCs w:val="19"/>
        </w:rPr>
        <w:t>oblación finita</w:t>
      </w:r>
      <w:r w:rsidR="00723BFF" w:rsidRPr="007861DC">
        <w:rPr>
          <w:rFonts w:ascii="Times New Roman" w:hAnsi="Times New Roman" w:cs="Times New Roman"/>
          <w:sz w:val="19"/>
          <w:szCs w:val="19"/>
        </w:rPr>
        <w:t xml:space="preserve"> </w:t>
      </w:r>
      <w:r w:rsidR="00E52220" w:rsidRPr="007861DC">
        <w:rPr>
          <w:rFonts w:ascii="Times New Roman" w:hAnsi="Times New Roman" w:cs="Times New Roman"/>
          <w:sz w:val="19"/>
          <w:szCs w:val="19"/>
        </w:rPr>
        <w:t xml:space="preserve">ya que </w:t>
      </w:r>
      <w:r w:rsidR="00951141" w:rsidRPr="007861DC">
        <w:rPr>
          <w:rFonts w:ascii="Times New Roman" w:hAnsi="Times New Roman" w:cs="Times New Roman"/>
          <w:sz w:val="19"/>
          <w:szCs w:val="19"/>
        </w:rPr>
        <w:t>posee</w:t>
      </w:r>
      <w:r w:rsidR="00E52220" w:rsidRPr="007861DC">
        <w:rPr>
          <w:rFonts w:ascii="Times New Roman" w:hAnsi="Times New Roman" w:cs="Times New Roman"/>
          <w:sz w:val="19"/>
          <w:szCs w:val="19"/>
        </w:rPr>
        <w:t xml:space="preserve"> u</w:t>
      </w:r>
      <w:r w:rsidR="00951141" w:rsidRPr="007861DC">
        <w:rPr>
          <w:rFonts w:ascii="Times New Roman" w:hAnsi="Times New Roman" w:cs="Times New Roman"/>
          <w:sz w:val="19"/>
          <w:szCs w:val="19"/>
        </w:rPr>
        <w:t>n tamaño establecido y limitado.</w:t>
      </w:r>
    </w:p>
    <w:p w:rsidR="00AF5B1F" w:rsidRPr="007861DC" w:rsidRDefault="008E4052" w:rsidP="00AF5B1F">
      <w:pPr>
        <w:ind w:firstLine="708"/>
        <w:jc w:val="both"/>
        <w:rPr>
          <w:rFonts w:ascii="Times New Roman" w:hAnsi="Times New Roman" w:cs="Times New Roman"/>
          <w:sz w:val="19"/>
          <w:szCs w:val="19"/>
        </w:rPr>
      </w:pPr>
      <w:proofErr w:type="spellStart"/>
      <w:r w:rsidRPr="007861DC">
        <w:rPr>
          <w:rFonts w:ascii="Times New Roman" w:hAnsi="Times New Roman" w:cs="Times New Roman"/>
          <w:sz w:val="19"/>
          <w:szCs w:val="19"/>
        </w:rPr>
        <w:t>Balestrini</w:t>
      </w:r>
      <w:proofErr w:type="spellEnd"/>
      <w:r w:rsidRPr="007861DC">
        <w:rPr>
          <w:rFonts w:ascii="Times New Roman" w:hAnsi="Times New Roman" w:cs="Times New Roman"/>
          <w:sz w:val="19"/>
          <w:szCs w:val="19"/>
        </w:rPr>
        <w:t xml:space="preserve"> (1997) menciona que</w:t>
      </w:r>
      <w:r w:rsidR="00AF5B1F" w:rsidRPr="007861DC">
        <w:rPr>
          <w:rFonts w:ascii="Times New Roman" w:hAnsi="Times New Roman" w:cs="Times New Roman"/>
          <w:sz w:val="19"/>
          <w:szCs w:val="19"/>
        </w:rPr>
        <w:t xml:space="preserve"> cuando el universo de estudio </w:t>
      </w:r>
      <w:r w:rsidR="00FA5E84" w:rsidRPr="007861DC">
        <w:rPr>
          <w:rFonts w:ascii="Times New Roman" w:hAnsi="Times New Roman" w:cs="Times New Roman"/>
          <w:sz w:val="19"/>
          <w:szCs w:val="19"/>
        </w:rPr>
        <w:t>está</w:t>
      </w:r>
      <w:r w:rsidR="00AF5B1F" w:rsidRPr="007861DC">
        <w:rPr>
          <w:rFonts w:ascii="Times New Roman" w:hAnsi="Times New Roman" w:cs="Times New Roman"/>
          <w:sz w:val="19"/>
          <w:szCs w:val="19"/>
        </w:rPr>
        <w:t xml:space="preserve"> integrado por un número reducido de sujetos por ser una población pequeña y finita</w:t>
      </w:r>
      <w:r w:rsidR="00951141" w:rsidRPr="007861DC">
        <w:rPr>
          <w:rFonts w:ascii="Times New Roman" w:hAnsi="Times New Roman" w:cs="Times New Roman"/>
          <w:sz w:val="19"/>
          <w:szCs w:val="19"/>
        </w:rPr>
        <w:t>,</w:t>
      </w:r>
      <w:r w:rsidR="00AF5B1F" w:rsidRPr="007861DC">
        <w:rPr>
          <w:rFonts w:ascii="Times New Roman" w:hAnsi="Times New Roman" w:cs="Times New Roman"/>
          <w:sz w:val="19"/>
          <w:szCs w:val="19"/>
        </w:rPr>
        <w:t xml:space="preserve"> se tomarán como unidades de estudio e indagación a todos los individuos que la integran</w:t>
      </w:r>
      <w:r w:rsidR="00951141" w:rsidRPr="007861DC">
        <w:rPr>
          <w:rFonts w:ascii="Times New Roman" w:hAnsi="Times New Roman" w:cs="Times New Roman"/>
          <w:sz w:val="19"/>
          <w:szCs w:val="19"/>
        </w:rPr>
        <w:t>,</w:t>
      </w:r>
      <w:r w:rsidR="00AF5B1F" w:rsidRPr="007861DC">
        <w:rPr>
          <w:rFonts w:ascii="Times New Roman" w:hAnsi="Times New Roman" w:cs="Times New Roman"/>
          <w:sz w:val="19"/>
          <w:szCs w:val="19"/>
        </w:rPr>
        <w:t xml:space="preserve"> por tanto,</w:t>
      </w:r>
      <w:r w:rsidRPr="007861DC">
        <w:rPr>
          <w:rFonts w:ascii="Times New Roman" w:hAnsi="Times New Roman" w:cs="Times New Roman"/>
          <w:sz w:val="19"/>
          <w:szCs w:val="19"/>
        </w:rPr>
        <w:t xml:space="preserve"> la población finita o conjunto finito, de cosas o elementos que presentan características comunes y para el cual serán validadas las conclusiones obtenidas en la investigación, es decir, la población está constituida por el conjunto de entes en los cuales se va a estudiar el evento, y que además comparten características comunes.</w:t>
      </w:r>
    </w:p>
    <w:p w:rsidR="00290598" w:rsidRPr="007861DC" w:rsidRDefault="00290598" w:rsidP="00812090">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El cuestionario </w:t>
      </w:r>
      <w:r w:rsidR="0037039D" w:rsidRPr="007861DC">
        <w:rPr>
          <w:rFonts w:ascii="Times New Roman" w:hAnsi="Times New Roman" w:cs="Times New Roman"/>
          <w:sz w:val="19"/>
          <w:szCs w:val="19"/>
        </w:rPr>
        <w:t>se conforma</w:t>
      </w:r>
      <w:r w:rsidRPr="007861DC">
        <w:rPr>
          <w:rFonts w:ascii="Times New Roman" w:hAnsi="Times New Roman" w:cs="Times New Roman"/>
          <w:sz w:val="19"/>
          <w:szCs w:val="19"/>
        </w:rPr>
        <w:t xml:space="preserve"> por </w:t>
      </w:r>
      <w:r w:rsidR="00047555" w:rsidRPr="007861DC">
        <w:rPr>
          <w:rFonts w:ascii="Times New Roman" w:hAnsi="Times New Roman" w:cs="Times New Roman"/>
          <w:sz w:val="19"/>
          <w:szCs w:val="19"/>
        </w:rPr>
        <w:t>16</w:t>
      </w:r>
      <w:r w:rsidRPr="007861DC">
        <w:rPr>
          <w:rFonts w:ascii="Times New Roman" w:hAnsi="Times New Roman" w:cs="Times New Roman"/>
          <w:sz w:val="19"/>
          <w:szCs w:val="19"/>
        </w:rPr>
        <w:t xml:space="preserve"> reactivos de escala</w:t>
      </w:r>
      <w:r w:rsidR="005A32B2" w:rsidRPr="007861DC">
        <w:rPr>
          <w:rFonts w:ascii="Times New Roman" w:hAnsi="Times New Roman" w:cs="Times New Roman"/>
          <w:sz w:val="19"/>
          <w:szCs w:val="19"/>
        </w:rPr>
        <w:t>, con tres dimensiones,</w:t>
      </w:r>
      <w:r w:rsidRPr="007861DC">
        <w:rPr>
          <w:rFonts w:ascii="Times New Roman" w:hAnsi="Times New Roman" w:cs="Times New Roman"/>
          <w:sz w:val="19"/>
          <w:szCs w:val="19"/>
        </w:rPr>
        <w:t xml:space="preserve"> y además  se incluyeron reactivos socios demográficos tales como: género, licenciatura y semestre. La escala fue de tipo Likert con cinco opciones de respuesta: 1= </w:t>
      </w:r>
      <w:r w:rsidR="007966D8" w:rsidRPr="007861DC">
        <w:rPr>
          <w:rFonts w:ascii="Times New Roman" w:hAnsi="Times New Roman" w:cs="Times New Roman"/>
          <w:sz w:val="19"/>
          <w:szCs w:val="19"/>
        </w:rPr>
        <w:t>muy bajo</w:t>
      </w:r>
      <w:r w:rsidRPr="007861DC">
        <w:rPr>
          <w:rFonts w:ascii="Times New Roman" w:hAnsi="Times New Roman" w:cs="Times New Roman"/>
          <w:sz w:val="19"/>
          <w:szCs w:val="19"/>
        </w:rPr>
        <w:t xml:space="preserve">; 2= </w:t>
      </w:r>
      <w:r w:rsidR="007966D8" w:rsidRPr="007861DC">
        <w:rPr>
          <w:rFonts w:ascii="Times New Roman" w:hAnsi="Times New Roman" w:cs="Times New Roman"/>
          <w:sz w:val="19"/>
          <w:szCs w:val="19"/>
        </w:rPr>
        <w:t>bajo</w:t>
      </w:r>
      <w:r w:rsidRPr="007861DC">
        <w:rPr>
          <w:rFonts w:ascii="Times New Roman" w:hAnsi="Times New Roman" w:cs="Times New Roman"/>
          <w:sz w:val="19"/>
          <w:szCs w:val="19"/>
        </w:rPr>
        <w:t xml:space="preserve">; 3= </w:t>
      </w:r>
      <w:r w:rsidR="007966D8" w:rsidRPr="007861DC">
        <w:rPr>
          <w:rFonts w:ascii="Times New Roman" w:hAnsi="Times New Roman" w:cs="Times New Roman"/>
          <w:sz w:val="19"/>
          <w:szCs w:val="19"/>
        </w:rPr>
        <w:t>regular</w:t>
      </w:r>
      <w:r w:rsidRPr="007861DC">
        <w:rPr>
          <w:rFonts w:ascii="Times New Roman" w:hAnsi="Times New Roman" w:cs="Times New Roman"/>
          <w:sz w:val="19"/>
          <w:szCs w:val="19"/>
        </w:rPr>
        <w:t xml:space="preserve">, 4= </w:t>
      </w:r>
      <w:r w:rsidR="007966D8" w:rsidRPr="007861DC">
        <w:rPr>
          <w:rFonts w:ascii="Times New Roman" w:hAnsi="Times New Roman" w:cs="Times New Roman"/>
          <w:sz w:val="19"/>
          <w:szCs w:val="19"/>
        </w:rPr>
        <w:t>alto</w:t>
      </w:r>
      <w:r w:rsidRPr="007861DC">
        <w:rPr>
          <w:rFonts w:ascii="Times New Roman" w:hAnsi="Times New Roman" w:cs="Times New Roman"/>
          <w:sz w:val="19"/>
          <w:szCs w:val="19"/>
        </w:rPr>
        <w:t xml:space="preserve"> y 5= </w:t>
      </w:r>
      <w:r w:rsidR="007966D8" w:rsidRPr="007861DC">
        <w:rPr>
          <w:rFonts w:ascii="Times New Roman" w:hAnsi="Times New Roman" w:cs="Times New Roman"/>
          <w:sz w:val="19"/>
          <w:szCs w:val="19"/>
        </w:rPr>
        <w:t>muy alto</w:t>
      </w:r>
      <w:r w:rsidRPr="007861DC">
        <w:rPr>
          <w:rFonts w:ascii="Times New Roman" w:hAnsi="Times New Roman" w:cs="Times New Roman"/>
          <w:sz w:val="19"/>
          <w:szCs w:val="19"/>
        </w:rPr>
        <w:t>.</w:t>
      </w:r>
      <w:r w:rsidR="0093111A" w:rsidRPr="007861DC">
        <w:rPr>
          <w:rFonts w:ascii="Times New Roman" w:hAnsi="Times New Roman" w:cs="Times New Roman"/>
          <w:sz w:val="19"/>
          <w:szCs w:val="19"/>
        </w:rPr>
        <w:t xml:space="preserve"> </w:t>
      </w:r>
      <w:r w:rsidRPr="007861DC">
        <w:rPr>
          <w:rFonts w:ascii="Times New Roman" w:hAnsi="Times New Roman" w:cs="Times New Roman"/>
          <w:sz w:val="19"/>
          <w:szCs w:val="19"/>
        </w:rPr>
        <w:t xml:space="preserve">El cuestionario presenta un </w:t>
      </w:r>
      <w:proofErr w:type="spellStart"/>
      <w:r w:rsidRPr="007861DC">
        <w:rPr>
          <w:rFonts w:ascii="Times New Roman" w:hAnsi="Times New Roman" w:cs="Times New Roman"/>
          <w:sz w:val="19"/>
          <w:szCs w:val="19"/>
        </w:rPr>
        <w:t>Alpha</w:t>
      </w:r>
      <w:proofErr w:type="spellEnd"/>
      <w:r w:rsidRPr="007861DC">
        <w:rPr>
          <w:rFonts w:ascii="Times New Roman" w:hAnsi="Times New Roman" w:cs="Times New Roman"/>
          <w:sz w:val="19"/>
          <w:szCs w:val="19"/>
        </w:rPr>
        <w:t xml:space="preserve"> de </w:t>
      </w:r>
      <w:proofErr w:type="spellStart"/>
      <w:r w:rsidRPr="007861DC">
        <w:rPr>
          <w:rFonts w:ascii="Times New Roman" w:hAnsi="Times New Roman" w:cs="Times New Roman"/>
          <w:sz w:val="19"/>
          <w:szCs w:val="19"/>
        </w:rPr>
        <w:t>Cronbach</w:t>
      </w:r>
      <w:proofErr w:type="spellEnd"/>
      <w:r w:rsidRPr="007861DC">
        <w:rPr>
          <w:rFonts w:ascii="Times New Roman" w:hAnsi="Times New Roman" w:cs="Times New Roman"/>
          <w:sz w:val="19"/>
          <w:szCs w:val="19"/>
        </w:rPr>
        <w:t xml:space="preserve"> para determinar la confiabilidad del mismo, un valor de 0.8</w:t>
      </w:r>
      <w:r w:rsidR="005A32B2" w:rsidRPr="007861DC">
        <w:rPr>
          <w:rFonts w:ascii="Times New Roman" w:hAnsi="Times New Roman" w:cs="Times New Roman"/>
          <w:sz w:val="19"/>
          <w:szCs w:val="19"/>
        </w:rPr>
        <w:t>16</w:t>
      </w:r>
      <w:r w:rsidRPr="007861DC">
        <w:rPr>
          <w:rFonts w:ascii="Times New Roman" w:hAnsi="Times New Roman" w:cs="Times New Roman"/>
          <w:sz w:val="19"/>
          <w:szCs w:val="19"/>
        </w:rPr>
        <w:t>,  que de acuerdo con</w:t>
      </w:r>
      <w:r w:rsidR="0093111A" w:rsidRPr="007861DC">
        <w:rPr>
          <w:rFonts w:ascii="Times New Roman" w:hAnsi="Times New Roman" w:cs="Times New Roman"/>
          <w:sz w:val="19"/>
          <w:szCs w:val="19"/>
        </w:rPr>
        <w:t xml:space="preserve"> </w:t>
      </w:r>
      <w:r w:rsidRPr="007861DC">
        <w:rPr>
          <w:rFonts w:ascii="Times New Roman" w:hAnsi="Times New Roman" w:cs="Times New Roman"/>
          <w:sz w:val="19"/>
          <w:szCs w:val="19"/>
        </w:rPr>
        <w:t xml:space="preserve">George  y  </w:t>
      </w:r>
      <w:proofErr w:type="spellStart"/>
      <w:r w:rsidRPr="007861DC">
        <w:rPr>
          <w:rFonts w:ascii="Times New Roman" w:hAnsi="Times New Roman" w:cs="Times New Roman"/>
          <w:sz w:val="19"/>
          <w:szCs w:val="19"/>
        </w:rPr>
        <w:t>Mallery</w:t>
      </w:r>
      <w:proofErr w:type="spellEnd"/>
      <w:r w:rsidRPr="007861DC">
        <w:rPr>
          <w:rFonts w:ascii="Times New Roman" w:hAnsi="Times New Roman" w:cs="Times New Roman"/>
          <w:sz w:val="19"/>
          <w:szCs w:val="19"/>
        </w:rPr>
        <w:t xml:space="preserve">  (2003) es bueno, ya que ellos afirman que el  criterio  general para  evaluar los coeficientes de alfa de </w:t>
      </w:r>
      <w:proofErr w:type="spellStart"/>
      <w:r w:rsidRPr="007861DC">
        <w:rPr>
          <w:rFonts w:ascii="Times New Roman" w:hAnsi="Times New Roman" w:cs="Times New Roman"/>
          <w:sz w:val="19"/>
          <w:szCs w:val="19"/>
        </w:rPr>
        <w:t>Cronbach</w:t>
      </w:r>
      <w:proofErr w:type="spellEnd"/>
      <w:r w:rsidRPr="007861DC">
        <w:rPr>
          <w:rFonts w:ascii="Times New Roman" w:hAnsi="Times New Roman" w:cs="Times New Roman"/>
          <w:sz w:val="19"/>
          <w:szCs w:val="19"/>
        </w:rPr>
        <w:t>, son: Coeficiente alfa &gt;.9 es excelente; Coeficiente alfa &gt;.8 es bueno; Coeficiente alfa &gt;.7 es aceptable; Coeficiente alfa &gt;.6 es cuestionable; Coeficiente alfa &gt;.5 es  pobre y el Coeficiente alfa &lt;.5 es  inaceptable.</w:t>
      </w:r>
    </w:p>
    <w:p w:rsidR="00F731E9" w:rsidRPr="007861DC" w:rsidRDefault="007779C0" w:rsidP="00812090">
      <w:pPr>
        <w:ind w:firstLine="708"/>
        <w:jc w:val="both"/>
        <w:rPr>
          <w:rFonts w:ascii="Times New Roman" w:hAnsi="Times New Roman" w:cs="Times New Roman"/>
          <w:sz w:val="19"/>
          <w:szCs w:val="19"/>
        </w:rPr>
      </w:pPr>
      <w:r w:rsidRPr="007861DC">
        <w:rPr>
          <w:rFonts w:ascii="Times New Roman" w:hAnsi="Times New Roman" w:cs="Times New Roman"/>
          <w:sz w:val="19"/>
          <w:szCs w:val="19"/>
        </w:rPr>
        <w:t>Para validar</w:t>
      </w:r>
      <w:r w:rsidR="00F731E9" w:rsidRPr="007861DC">
        <w:rPr>
          <w:rFonts w:ascii="Times New Roman" w:hAnsi="Times New Roman" w:cs="Times New Roman"/>
          <w:sz w:val="19"/>
          <w:szCs w:val="19"/>
        </w:rPr>
        <w:t xml:space="preserve"> un instrumento </w:t>
      </w:r>
      <w:r w:rsidRPr="007861DC">
        <w:rPr>
          <w:rFonts w:ascii="Times New Roman" w:hAnsi="Times New Roman" w:cs="Times New Roman"/>
          <w:sz w:val="19"/>
          <w:szCs w:val="19"/>
        </w:rPr>
        <w:t xml:space="preserve">se </w:t>
      </w:r>
      <w:r w:rsidR="00F731E9" w:rsidRPr="007861DC">
        <w:rPr>
          <w:rFonts w:ascii="Times New Roman" w:hAnsi="Times New Roman" w:cs="Times New Roman"/>
          <w:sz w:val="19"/>
          <w:szCs w:val="19"/>
        </w:rPr>
        <w:t xml:space="preserve">describe el grado </w:t>
      </w:r>
      <w:r w:rsidRPr="007861DC">
        <w:rPr>
          <w:rFonts w:ascii="Times New Roman" w:hAnsi="Times New Roman" w:cs="Times New Roman"/>
          <w:sz w:val="19"/>
          <w:szCs w:val="19"/>
        </w:rPr>
        <w:t xml:space="preserve">que </w:t>
      </w:r>
      <w:r w:rsidR="00F731E9" w:rsidRPr="007861DC">
        <w:rPr>
          <w:rFonts w:ascii="Times New Roman" w:hAnsi="Times New Roman" w:cs="Times New Roman"/>
          <w:sz w:val="19"/>
          <w:szCs w:val="19"/>
        </w:rPr>
        <w:t xml:space="preserve">se </w:t>
      </w:r>
      <w:r w:rsidR="00812090" w:rsidRPr="007861DC">
        <w:rPr>
          <w:rFonts w:ascii="Times New Roman" w:hAnsi="Times New Roman" w:cs="Times New Roman"/>
          <w:sz w:val="19"/>
          <w:szCs w:val="19"/>
        </w:rPr>
        <w:t>intenta</w:t>
      </w:r>
      <w:r w:rsidR="00F731E9" w:rsidRPr="007861DC">
        <w:rPr>
          <w:rFonts w:ascii="Times New Roman" w:hAnsi="Times New Roman" w:cs="Times New Roman"/>
          <w:sz w:val="19"/>
          <w:szCs w:val="19"/>
        </w:rPr>
        <w:t xml:space="preserve"> medir y  su fiabilidad de la consistencia interna del instrumento</w:t>
      </w:r>
      <w:r w:rsidRPr="007861DC">
        <w:rPr>
          <w:rFonts w:ascii="Times New Roman" w:hAnsi="Times New Roman" w:cs="Times New Roman"/>
          <w:sz w:val="19"/>
          <w:szCs w:val="19"/>
        </w:rPr>
        <w:t>, este</w:t>
      </w:r>
      <w:r w:rsidR="00F731E9" w:rsidRPr="007861DC">
        <w:rPr>
          <w:rFonts w:ascii="Times New Roman" w:hAnsi="Times New Roman" w:cs="Times New Roman"/>
          <w:sz w:val="19"/>
          <w:szCs w:val="19"/>
        </w:rPr>
        <w:t xml:space="preserve"> se estima con el alfa de </w:t>
      </w:r>
      <w:proofErr w:type="spellStart"/>
      <w:r w:rsidR="00F731E9" w:rsidRPr="007861DC">
        <w:rPr>
          <w:rFonts w:ascii="Times New Roman" w:hAnsi="Times New Roman" w:cs="Times New Roman"/>
          <w:sz w:val="19"/>
          <w:szCs w:val="19"/>
        </w:rPr>
        <w:t>Cronbach</w:t>
      </w:r>
      <w:proofErr w:type="spellEnd"/>
      <w:r w:rsidR="00F731E9" w:rsidRPr="007861DC">
        <w:rPr>
          <w:rFonts w:ascii="Times New Roman" w:hAnsi="Times New Roman" w:cs="Times New Roman"/>
          <w:sz w:val="19"/>
          <w:szCs w:val="19"/>
        </w:rPr>
        <w:t>, que asume que los ítems (que se miden en escala tipo Likert) y que se encuentran altamente correlacionados (</w:t>
      </w:r>
      <w:proofErr w:type="spellStart"/>
      <w:r w:rsidR="00F731E9" w:rsidRPr="007861DC">
        <w:rPr>
          <w:rFonts w:ascii="Times New Roman" w:hAnsi="Times New Roman" w:cs="Times New Roman"/>
          <w:sz w:val="19"/>
          <w:szCs w:val="19"/>
        </w:rPr>
        <w:t>Welch</w:t>
      </w:r>
      <w:proofErr w:type="spellEnd"/>
      <w:r w:rsidR="00F731E9" w:rsidRPr="007861DC">
        <w:rPr>
          <w:rFonts w:ascii="Times New Roman" w:hAnsi="Times New Roman" w:cs="Times New Roman"/>
          <w:sz w:val="19"/>
          <w:szCs w:val="19"/>
        </w:rPr>
        <w:t xml:space="preserve">  y  Comer,  1988).</w:t>
      </w:r>
    </w:p>
    <w:p w:rsidR="00290598" w:rsidRPr="007861DC" w:rsidRDefault="00290598" w:rsidP="00EB0FBE">
      <w:pPr>
        <w:ind w:firstLine="708"/>
        <w:jc w:val="both"/>
        <w:rPr>
          <w:rFonts w:ascii="Times New Roman" w:hAnsi="Times New Roman" w:cs="Times New Roman"/>
          <w:sz w:val="19"/>
          <w:szCs w:val="19"/>
        </w:rPr>
      </w:pPr>
      <w:r w:rsidRPr="007861DC">
        <w:rPr>
          <w:rFonts w:ascii="Times New Roman" w:hAnsi="Times New Roman" w:cs="Times New Roman"/>
          <w:sz w:val="19"/>
          <w:szCs w:val="19"/>
        </w:rPr>
        <w:t xml:space="preserve">Para realizar el análisis estadístico de resultados se empleó el programa estadístico </w:t>
      </w:r>
      <w:proofErr w:type="spellStart"/>
      <w:r w:rsidRPr="007861DC">
        <w:rPr>
          <w:rFonts w:ascii="Times New Roman" w:hAnsi="Times New Roman" w:cs="Times New Roman"/>
          <w:sz w:val="19"/>
          <w:szCs w:val="19"/>
        </w:rPr>
        <w:t>Statistic</w:t>
      </w:r>
      <w:proofErr w:type="spellEnd"/>
      <w:r w:rsidRPr="007861DC">
        <w:rPr>
          <w:rFonts w:ascii="Times New Roman" w:hAnsi="Times New Roman" w:cs="Times New Roman"/>
          <w:sz w:val="19"/>
          <w:szCs w:val="19"/>
        </w:rPr>
        <w:t xml:space="preserve"> </w:t>
      </w:r>
      <w:proofErr w:type="spellStart"/>
      <w:r w:rsidRPr="007861DC">
        <w:rPr>
          <w:rFonts w:ascii="Times New Roman" w:hAnsi="Times New Roman" w:cs="Times New Roman"/>
          <w:sz w:val="19"/>
          <w:szCs w:val="19"/>
        </w:rPr>
        <w:t>Package</w:t>
      </w:r>
      <w:proofErr w:type="spellEnd"/>
      <w:r w:rsidRPr="007861DC">
        <w:rPr>
          <w:rFonts w:ascii="Times New Roman" w:hAnsi="Times New Roman" w:cs="Times New Roman"/>
          <w:sz w:val="19"/>
          <w:szCs w:val="19"/>
        </w:rPr>
        <w:t xml:space="preserve"> </w:t>
      </w:r>
      <w:proofErr w:type="spellStart"/>
      <w:r w:rsidRPr="007861DC">
        <w:rPr>
          <w:rFonts w:ascii="Times New Roman" w:hAnsi="Times New Roman" w:cs="Times New Roman"/>
          <w:sz w:val="19"/>
          <w:szCs w:val="19"/>
        </w:rPr>
        <w:t>for</w:t>
      </w:r>
      <w:proofErr w:type="spellEnd"/>
      <w:r w:rsidRPr="007861DC">
        <w:rPr>
          <w:rFonts w:ascii="Times New Roman" w:hAnsi="Times New Roman" w:cs="Times New Roman"/>
          <w:sz w:val="19"/>
          <w:szCs w:val="19"/>
        </w:rPr>
        <w:t xml:space="preserve"> Social </w:t>
      </w:r>
      <w:proofErr w:type="spellStart"/>
      <w:r w:rsidRPr="007861DC">
        <w:rPr>
          <w:rFonts w:ascii="Times New Roman" w:hAnsi="Times New Roman" w:cs="Times New Roman"/>
          <w:sz w:val="19"/>
          <w:szCs w:val="19"/>
        </w:rPr>
        <w:t>Sciencie</w:t>
      </w:r>
      <w:proofErr w:type="spellEnd"/>
      <w:r w:rsidRPr="007861DC">
        <w:rPr>
          <w:rFonts w:ascii="Times New Roman" w:hAnsi="Times New Roman" w:cs="Times New Roman"/>
          <w:sz w:val="19"/>
          <w:szCs w:val="19"/>
        </w:rPr>
        <w:t xml:space="preserve"> SPSS Versión 21.0 para Windows. Primero, se hizo un análisis de estadística descriptiva y de frecuencias con la finalidad de describir el fenómeno bajo estudio en cada una de las dimensiones en general. </w:t>
      </w:r>
    </w:p>
    <w:p w:rsidR="00C623ED" w:rsidRPr="007861DC" w:rsidRDefault="00C623ED" w:rsidP="00BD7B29">
      <w:pPr>
        <w:jc w:val="both"/>
        <w:rPr>
          <w:rFonts w:ascii="Times New Roman" w:hAnsi="Times New Roman" w:cs="Times New Roman"/>
          <w:b/>
          <w:sz w:val="24"/>
          <w:szCs w:val="19"/>
        </w:rPr>
      </w:pPr>
    </w:p>
    <w:p w:rsidR="00DC2C0F" w:rsidRPr="007861DC" w:rsidRDefault="00623909" w:rsidP="00BD7B29">
      <w:pPr>
        <w:jc w:val="both"/>
        <w:rPr>
          <w:rFonts w:ascii="Times New Roman" w:hAnsi="Times New Roman" w:cs="Times New Roman"/>
          <w:b/>
          <w:sz w:val="24"/>
          <w:szCs w:val="19"/>
        </w:rPr>
      </w:pPr>
      <w:r w:rsidRPr="007861DC">
        <w:rPr>
          <w:rFonts w:ascii="Times New Roman" w:hAnsi="Times New Roman" w:cs="Times New Roman"/>
          <w:b/>
          <w:sz w:val="24"/>
          <w:szCs w:val="19"/>
        </w:rPr>
        <w:t>Resultados y conclusiones</w:t>
      </w:r>
    </w:p>
    <w:p w:rsidR="00A955CB" w:rsidRDefault="0037039D" w:rsidP="00BD7B29">
      <w:pPr>
        <w:jc w:val="both"/>
        <w:rPr>
          <w:rFonts w:ascii="Times New Roman" w:hAnsi="Times New Roman" w:cs="Times New Roman"/>
          <w:sz w:val="19"/>
          <w:szCs w:val="19"/>
        </w:rPr>
      </w:pPr>
      <w:r w:rsidRPr="007861DC">
        <w:rPr>
          <w:rFonts w:ascii="Times New Roman" w:hAnsi="Times New Roman" w:cs="Times New Roman"/>
          <w:sz w:val="19"/>
          <w:szCs w:val="19"/>
        </w:rPr>
        <w:t xml:space="preserve">Los resultados  </w:t>
      </w:r>
      <w:r w:rsidR="00951141" w:rsidRPr="007861DC">
        <w:rPr>
          <w:rFonts w:ascii="Times New Roman" w:hAnsi="Times New Roman" w:cs="Times New Roman"/>
          <w:sz w:val="19"/>
          <w:szCs w:val="19"/>
        </w:rPr>
        <w:t>obtenidos</w:t>
      </w:r>
      <w:r w:rsidRPr="007861DC">
        <w:rPr>
          <w:rFonts w:ascii="Times New Roman" w:hAnsi="Times New Roman" w:cs="Times New Roman"/>
          <w:sz w:val="19"/>
          <w:szCs w:val="19"/>
        </w:rPr>
        <w:t xml:space="preserve"> a través de la aplicación del cuestionario a los prestadores del Servicio Social Comunitario del Programa </w:t>
      </w:r>
      <w:proofErr w:type="spellStart"/>
      <w:r w:rsidRPr="007861DC">
        <w:rPr>
          <w:rFonts w:ascii="Times New Roman" w:hAnsi="Times New Roman" w:cs="Times New Roman"/>
          <w:sz w:val="19"/>
          <w:szCs w:val="19"/>
        </w:rPr>
        <w:t>Ujat-Peraj</w:t>
      </w:r>
      <w:proofErr w:type="spellEnd"/>
      <w:r w:rsidRPr="007861DC">
        <w:rPr>
          <w:rFonts w:ascii="Times New Roman" w:hAnsi="Times New Roman" w:cs="Times New Roman"/>
          <w:sz w:val="19"/>
          <w:szCs w:val="19"/>
        </w:rPr>
        <w:t xml:space="preserve"> </w:t>
      </w:r>
      <w:r w:rsidR="00951141" w:rsidRPr="007861DC">
        <w:rPr>
          <w:rFonts w:ascii="Times New Roman" w:hAnsi="Times New Roman" w:cs="Times New Roman"/>
          <w:sz w:val="19"/>
          <w:szCs w:val="19"/>
        </w:rPr>
        <w:t xml:space="preserve">adopta un </w:t>
      </w:r>
      <w:proofErr w:type="spellStart"/>
      <w:r w:rsidR="00951141" w:rsidRPr="007861DC">
        <w:rPr>
          <w:rFonts w:ascii="Times New Roman" w:hAnsi="Times New Roman" w:cs="Times New Roman"/>
          <w:sz w:val="19"/>
          <w:szCs w:val="19"/>
        </w:rPr>
        <w:t>amig</w:t>
      </w:r>
      <w:proofErr w:type="spellEnd"/>
      <w:r w:rsidR="00951141" w:rsidRPr="007861DC">
        <w:rPr>
          <w:rFonts w:ascii="Times New Roman" w:hAnsi="Times New Roman" w:cs="Times New Roman"/>
          <w:sz w:val="19"/>
          <w:szCs w:val="19"/>
        </w:rPr>
        <w:t xml:space="preserve">@, </w:t>
      </w:r>
      <w:r w:rsidRPr="007861DC">
        <w:rPr>
          <w:rFonts w:ascii="Times New Roman" w:hAnsi="Times New Roman" w:cs="Times New Roman"/>
          <w:sz w:val="19"/>
          <w:szCs w:val="19"/>
        </w:rPr>
        <w:t xml:space="preserve"> se presentan en las siguientes tablas:</w:t>
      </w:r>
    </w:p>
    <w:p w:rsidR="00FD68C4" w:rsidRPr="00623909" w:rsidRDefault="00623909" w:rsidP="00A955CB">
      <w:pPr>
        <w:spacing w:line="240" w:lineRule="auto"/>
        <w:jc w:val="both"/>
        <w:rPr>
          <w:rFonts w:ascii="Times New Roman" w:hAnsi="Times New Roman" w:cs="Times New Roman"/>
          <w:sz w:val="19"/>
          <w:szCs w:val="19"/>
        </w:rPr>
      </w:pPr>
      <w:r>
        <w:rPr>
          <w:rFonts w:ascii="Times New Roman" w:hAnsi="Times New Roman" w:cs="Times New Roman"/>
          <w:sz w:val="19"/>
          <w:szCs w:val="19"/>
        </w:rPr>
        <w:t>Tabla 1:</w:t>
      </w:r>
      <w:r w:rsidR="00FD68C4" w:rsidRPr="00623909">
        <w:rPr>
          <w:rFonts w:ascii="Times New Roman" w:hAnsi="Times New Roman" w:cs="Times New Roman"/>
          <w:sz w:val="19"/>
          <w:szCs w:val="19"/>
        </w:rPr>
        <w:t xml:space="preserve"> </w:t>
      </w:r>
      <w:r w:rsidR="007861DC">
        <w:rPr>
          <w:rFonts w:ascii="Times New Roman" w:hAnsi="Times New Roman" w:cs="Times New Roman"/>
          <w:sz w:val="19"/>
          <w:szCs w:val="19"/>
        </w:rPr>
        <w:t>Número de ciclos</w:t>
      </w:r>
      <w:r w:rsidR="00FD68C4" w:rsidRPr="00623909">
        <w:rPr>
          <w:rFonts w:ascii="Times New Roman" w:hAnsi="Times New Roman" w:cs="Times New Roman"/>
          <w:sz w:val="19"/>
          <w:szCs w:val="19"/>
        </w:rPr>
        <w:t xml:space="preserve"> cursado</w:t>
      </w:r>
      <w:r w:rsidR="007779C0" w:rsidRPr="00623909">
        <w:rPr>
          <w:rFonts w:ascii="Times New Roman" w:hAnsi="Times New Roman" w:cs="Times New Roman"/>
          <w:sz w:val="19"/>
          <w:szCs w:val="19"/>
        </w:rPr>
        <w:t>s</w:t>
      </w:r>
      <w:r w:rsidR="0093111A" w:rsidRPr="00623909">
        <w:rPr>
          <w:rFonts w:ascii="Times New Roman" w:hAnsi="Times New Roman" w:cs="Times New Roman"/>
          <w:sz w:val="19"/>
          <w:szCs w:val="19"/>
        </w:rPr>
        <w:t xml:space="preserve"> </w:t>
      </w:r>
      <w:r w:rsidR="007861DC">
        <w:rPr>
          <w:rFonts w:ascii="Times New Roman" w:hAnsi="Times New Roman" w:cs="Times New Roman"/>
          <w:sz w:val="19"/>
          <w:szCs w:val="19"/>
        </w:rPr>
        <w:t xml:space="preserve">por </w:t>
      </w:r>
      <w:r w:rsidR="007779C0" w:rsidRPr="00623909">
        <w:rPr>
          <w:rFonts w:ascii="Times New Roman" w:hAnsi="Times New Roman" w:cs="Times New Roman"/>
          <w:sz w:val="19"/>
          <w:szCs w:val="19"/>
        </w:rPr>
        <w:t>estudiantes prestadores de servicio</w:t>
      </w:r>
      <w:r w:rsidR="007861DC">
        <w:rPr>
          <w:rFonts w:ascii="Times New Roman" w:hAnsi="Times New Roman" w:cs="Times New Roman"/>
          <w:sz w:val="19"/>
          <w:szCs w:val="19"/>
        </w:rPr>
        <w:t xml:space="preserve"> social</w:t>
      </w:r>
      <w:r w:rsidR="007779C0" w:rsidRPr="00623909">
        <w:rPr>
          <w:rFonts w:ascii="Times New Roman" w:hAnsi="Times New Roman" w:cs="Times New Roman"/>
          <w:sz w:val="19"/>
          <w:szCs w:val="19"/>
        </w:rPr>
        <w:t xml:space="preserve"> en el </w:t>
      </w:r>
      <w:r w:rsidR="0037039D" w:rsidRPr="00623909">
        <w:rPr>
          <w:rFonts w:ascii="Times New Roman" w:hAnsi="Times New Roman" w:cs="Times New Roman"/>
          <w:sz w:val="19"/>
          <w:szCs w:val="19"/>
        </w:rPr>
        <w:t xml:space="preserve">Programa </w:t>
      </w:r>
      <w:proofErr w:type="spellStart"/>
      <w:r w:rsidR="0037039D" w:rsidRPr="00623909">
        <w:rPr>
          <w:rFonts w:ascii="Times New Roman" w:hAnsi="Times New Roman" w:cs="Times New Roman"/>
          <w:sz w:val="19"/>
          <w:szCs w:val="19"/>
        </w:rPr>
        <w:t>Ujat-Peraj</w:t>
      </w:r>
      <w:proofErr w:type="spellEnd"/>
      <w:r w:rsidR="0037039D" w:rsidRPr="00623909">
        <w:rPr>
          <w:rFonts w:ascii="Times New Roman" w:hAnsi="Times New Roman" w:cs="Times New Roman"/>
          <w:sz w:val="19"/>
          <w:szCs w:val="19"/>
        </w:rPr>
        <w:t xml:space="preserve"> adopta un </w:t>
      </w:r>
      <w:proofErr w:type="spellStart"/>
      <w:r w:rsidR="0037039D" w:rsidRPr="00623909">
        <w:rPr>
          <w:rFonts w:ascii="Times New Roman" w:hAnsi="Times New Roman" w:cs="Times New Roman"/>
          <w:sz w:val="19"/>
          <w:szCs w:val="19"/>
        </w:rPr>
        <w:t>amig</w:t>
      </w:r>
      <w:proofErr w:type="spellEnd"/>
      <w:r w:rsidR="0037039D" w:rsidRPr="00623909">
        <w:rPr>
          <w:rFonts w:ascii="Times New Roman" w:hAnsi="Times New Roman" w:cs="Times New Roman"/>
          <w:sz w:val="19"/>
          <w:szCs w:val="19"/>
        </w:rPr>
        <w:t xml:space="preserve">@ </w:t>
      </w:r>
      <w:r w:rsidR="00FD68C4" w:rsidRPr="00623909">
        <w:rPr>
          <w:rFonts w:ascii="Times New Roman" w:hAnsi="Times New Roman" w:cs="Times New Roman"/>
          <w:sz w:val="19"/>
          <w:szCs w:val="19"/>
        </w:rPr>
        <w:t>de acuerdo al género</w:t>
      </w:r>
      <w:r w:rsidR="00A63F01" w:rsidRPr="00623909">
        <w:rPr>
          <w:rFonts w:ascii="Times New Roman" w:hAnsi="Times New Roman" w:cs="Times New Roman"/>
          <w:sz w:val="19"/>
          <w:szCs w:val="19"/>
        </w:rPr>
        <w: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496"/>
        <w:gridCol w:w="1496"/>
        <w:gridCol w:w="1496"/>
        <w:gridCol w:w="1497"/>
        <w:gridCol w:w="1497"/>
      </w:tblGrid>
      <w:tr w:rsidR="00FD68C4" w:rsidRPr="00C37F15" w:rsidTr="00DC2C0F">
        <w:tc>
          <w:tcPr>
            <w:tcW w:w="1388"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No. Semestre</w:t>
            </w:r>
          </w:p>
        </w:tc>
        <w:tc>
          <w:tcPr>
            <w:tcW w:w="1496"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Masculino</w:t>
            </w:r>
          </w:p>
        </w:tc>
        <w:tc>
          <w:tcPr>
            <w:tcW w:w="1496"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w:t>
            </w:r>
          </w:p>
        </w:tc>
        <w:tc>
          <w:tcPr>
            <w:tcW w:w="1496"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Femenino</w:t>
            </w:r>
          </w:p>
        </w:tc>
        <w:tc>
          <w:tcPr>
            <w:tcW w:w="1497"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w:t>
            </w:r>
          </w:p>
        </w:tc>
        <w:tc>
          <w:tcPr>
            <w:tcW w:w="1497"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Total</w:t>
            </w:r>
          </w:p>
        </w:tc>
      </w:tr>
      <w:tr w:rsidR="00FD68C4" w:rsidRPr="00C37F15" w:rsidTr="00DC2C0F">
        <w:tc>
          <w:tcPr>
            <w:tcW w:w="1388" w:type="dxa"/>
            <w:tcBorders>
              <w:top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7</w:t>
            </w:r>
          </w:p>
        </w:tc>
        <w:tc>
          <w:tcPr>
            <w:tcW w:w="1496" w:type="dxa"/>
            <w:tcBorders>
              <w:top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w:t>
            </w:r>
          </w:p>
        </w:tc>
        <w:tc>
          <w:tcPr>
            <w:tcW w:w="1496" w:type="dxa"/>
            <w:tcBorders>
              <w:top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16.7%</w:t>
            </w:r>
          </w:p>
        </w:tc>
        <w:tc>
          <w:tcPr>
            <w:tcW w:w="1496" w:type="dxa"/>
            <w:tcBorders>
              <w:top w:val="single" w:sz="4" w:space="0" w:color="auto"/>
            </w:tcBorders>
          </w:tcPr>
          <w:p w:rsidR="00FD68C4" w:rsidRPr="00C37F15" w:rsidRDefault="00FD68C4" w:rsidP="00A955CB">
            <w:pPr>
              <w:jc w:val="center"/>
              <w:rPr>
                <w:rFonts w:ascii="Times New Roman" w:hAnsi="Times New Roman" w:cs="Times New Roman"/>
                <w:sz w:val="19"/>
                <w:szCs w:val="19"/>
              </w:rPr>
            </w:pPr>
          </w:p>
        </w:tc>
        <w:tc>
          <w:tcPr>
            <w:tcW w:w="1497" w:type="dxa"/>
            <w:tcBorders>
              <w:top w:val="single" w:sz="4" w:space="0" w:color="auto"/>
            </w:tcBorders>
          </w:tcPr>
          <w:p w:rsidR="00FD68C4" w:rsidRPr="00C37F15" w:rsidRDefault="00FD68C4" w:rsidP="00A955CB">
            <w:pPr>
              <w:jc w:val="center"/>
              <w:rPr>
                <w:rFonts w:ascii="Times New Roman" w:hAnsi="Times New Roman" w:cs="Times New Roman"/>
                <w:sz w:val="19"/>
                <w:szCs w:val="19"/>
              </w:rPr>
            </w:pPr>
          </w:p>
        </w:tc>
        <w:tc>
          <w:tcPr>
            <w:tcW w:w="1497" w:type="dxa"/>
            <w:tcBorders>
              <w:top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4.8%</w:t>
            </w:r>
          </w:p>
        </w:tc>
      </w:tr>
      <w:tr w:rsidR="00FD68C4" w:rsidRPr="00C37F15" w:rsidTr="00DC2C0F">
        <w:tc>
          <w:tcPr>
            <w:tcW w:w="1388"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8</w:t>
            </w:r>
          </w:p>
        </w:tc>
        <w:tc>
          <w:tcPr>
            <w:tcW w:w="1496" w:type="dxa"/>
          </w:tcPr>
          <w:p w:rsidR="00FD68C4" w:rsidRPr="00C37F15" w:rsidRDefault="00FD68C4" w:rsidP="00A955CB">
            <w:pPr>
              <w:jc w:val="center"/>
              <w:rPr>
                <w:rFonts w:ascii="Times New Roman" w:hAnsi="Times New Roman" w:cs="Times New Roman"/>
                <w:sz w:val="19"/>
                <w:szCs w:val="19"/>
              </w:rPr>
            </w:pPr>
          </w:p>
        </w:tc>
        <w:tc>
          <w:tcPr>
            <w:tcW w:w="1496" w:type="dxa"/>
          </w:tcPr>
          <w:p w:rsidR="00FD68C4" w:rsidRPr="00C37F15" w:rsidRDefault="00FD68C4" w:rsidP="00A955CB">
            <w:pPr>
              <w:jc w:val="center"/>
              <w:rPr>
                <w:rFonts w:ascii="Times New Roman" w:hAnsi="Times New Roman" w:cs="Times New Roman"/>
                <w:sz w:val="19"/>
                <w:szCs w:val="19"/>
              </w:rPr>
            </w:pPr>
          </w:p>
        </w:tc>
        <w:tc>
          <w:tcPr>
            <w:tcW w:w="1496"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w:t>
            </w:r>
          </w:p>
        </w:tc>
        <w:tc>
          <w:tcPr>
            <w:tcW w:w="1497"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6.7%</w:t>
            </w:r>
          </w:p>
        </w:tc>
        <w:tc>
          <w:tcPr>
            <w:tcW w:w="1497"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4.8%</w:t>
            </w:r>
          </w:p>
        </w:tc>
      </w:tr>
      <w:tr w:rsidR="00FD68C4" w:rsidRPr="00C37F15" w:rsidTr="00DC2C0F">
        <w:tc>
          <w:tcPr>
            <w:tcW w:w="1388"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9</w:t>
            </w:r>
          </w:p>
        </w:tc>
        <w:tc>
          <w:tcPr>
            <w:tcW w:w="1496" w:type="dxa"/>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3</w:t>
            </w:r>
          </w:p>
        </w:tc>
        <w:tc>
          <w:tcPr>
            <w:tcW w:w="1496"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50%</w:t>
            </w:r>
          </w:p>
        </w:tc>
        <w:tc>
          <w:tcPr>
            <w:tcW w:w="1496" w:type="dxa"/>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13</w:t>
            </w:r>
          </w:p>
        </w:tc>
        <w:tc>
          <w:tcPr>
            <w:tcW w:w="1497"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86.7%</w:t>
            </w:r>
          </w:p>
        </w:tc>
        <w:tc>
          <w:tcPr>
            <w:tcW w:w="1497" w:type="dxa"/>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76.2%</w:t>
            </w:r>
          </w:p>
        </w:tc>
      </w:tr>
      <w:tr w:rsidR="00FD68C4" w:rsidRPr="00C37F15" w:rsidTr="00DC2C0F">
        <w:tc>
          <w:tcPr>
            <w:tcW w:w="1388" w:type="dxa"/>
            <w:tcBorders>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10</w:t>
            </w:r>
          </w:p>
        </w:tc>
        <w:tc>
          <w:tcPr>
            <w:tcW w:w="1496" w:type="dxa"/>
            <w:tcBorders>
              <w:bottom w:val="single" w:sz="4" w:space="0" w:color="auto"/>
            </w:tcBorders>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2</w:t>
            </w:r>
          </w:p>
        </w:tc>
        <w:tc>
          <w:tcPr>
            <w:tcW w:w="1496" w:type="dxa"/>
            <w:tcBorders>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33.3%</w:t>
            </w:r>
          </w:p>
        </w:tc>
        <w:tc>
          <w:tcPr>
            <w:tcW w:w="1496" w:type="dxa"/>
            <w:tcBorders>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w:t>
            </w:r>
          </w:p>
        </w:tc>
        <w:tc>
          <w:tcPr>
            <w:tcW w:w="1497" w:type="dxa"/>
            <w:tcBorders>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6.7%</w:t>
            </w:r>
          </w:p>
        </w:tc>
        <w:tc>
          <w:tcPr>
            <w:tcW w:w="1497" w:type="dxa"/>
            <w:tcBorders>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14.3%</w:t>
            </w:r>
          </w:p>
        </w:tc>
      </w:tr>
      <w:tr w:rsidR="00FD68C4" w:rsidRPr="00C37F15" w:rsidTr="00DC2C0F">
        <w:tc>
          <w:tcPr>
            <w:tcW w:w="1388"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Total</w:t>
            </w:r>
          </w:p>
        </w:tc>
        <w:tc>
          <w:tcPr>
            <w:tcW w:w="1496" w:type="dxa"/>
            <w:tcBorders>
              <w:top w:val="single" w:sz="4" w:space="0" w:color="auto"/>
              <w:bottom w:val="single" w:sz="4" w:space="0" w:color="auto"/>
            </w:tcBorders>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6</w:t>
            </w:r>
          </w:p>
        </w:tc>
        <w:tc>
          <w:tcPr>
            <w:tcW w:w="1496" w:type="dxa"/>
            <w:tcBorders>
              <w:top w:val="single" w:sz="4" w:space="0" w:color="auto"/>
              <w:bottom w:val="single" w:sz="4" w:space="0" w:color="auto"/>
            </w:tcBorders>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28%</w:t>
            </w:r>
            <w:r w:rsidR="00FD68C4" w:rsidRPr="00C37F15">
              <w:rPr>
                <w:rFonts w:ascii="Times New Roman" w:hAnsi="Times New Roman" w:cs="Times New Roman"/>
                <w:sz w:val="19"/>
                <w:szCs w:val="19"/>
              </w:rPr>
              <w:t>%</w:t>
            </w:r>
          </w:p>
        </w:tc>
        <w:tc>
          <w:tcPr>
            <w:tcW w:w="1496" w:type="dxa"/>
            <w:tcBorders>
              <w:top w:val="single" w:sz="4" w:space="0" w:color="auto"/>
              <w:bottom w:val="single" w:sz="4" w:space="0" w:color="auto"/>
            </w:tcBorders>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15</w:t>
            </w:r>
          </w:p>
        </w:tc>
        <w:tc>
          <w:tcPr>
            <w:tcW w:w="1497" w:type="dxa"/>
            <w:tcBorders>
              <w:top w:val="single" w:sz="4" w:space="0" w:color="auto"/>
              <w:bottom w:val="single" w:sz="4" w:space="0" w:color="auto"/>
            </w:tcBorders>
          </w:tcPr>
          <w:p w:rsidR="00FD68C4" w:rsidRPr="00C37F15" w:rsidRDefault="00B7168F" w:rsidP="00A955CB">
            <w:pPr>
              <w:jc w:val="center"/>
              <w:rPr>
                <w:rFonts w:ascii="Times New Roman" w:hAnsi="Times New Roman" w:cs="Times New Roman"/>
                <w:sz w:val="19"/>
                <w:szCs w:val="19"/>
              </w:rPr>
            </w:pPr>
            <w:r w:rsidRPr="00C37F15">
              <w:rPr>
                <w:rFonts w:ascii="Times New Roman" w:hAnsi="Times New Roman" w:cs="Times New Roman"/>
                <w:sz w:val="19"/>
                <w:szCs w:val="19"/>
              </w:rPr>
              <w:t>72%</w:t>
            </w:r>
          </w:p>
        </w:tc>
        <w:tc>
          <w:tcPr>
            <w:tcW w:w="1497" w:type="dxa"/>
            <w:tcBorders>
              <w:top w:val="single" w:sz="4" w:space="0" w:color="auto"/>
              <w:bottom w:val="single" w:sz="4" w:space="0" w:color="auto"/>
            </w:tcBorders>
          </w:tcPr>
          <w:p w:rsidR="00FD68C4" w:rsidRPr="00C37F15" w:rsidRDefault="00FD68C4" w:rsidP="00A955CB">
            <w:pPr>
              <w:jc w:val="center"/>
              <w:rPr>
                <w:rFonts w:ascii="Times New Roman" w:hAnsi="Times New Roman" w:cs="Times New Roman"/>
                <w:sz w:val="19"/>
                <w:szCs w:val="19"/>
              </w:rPr>
            </w:pPr>
            <w:r w:rsidRPr="00C37F15">
              <w:rPr>
                <w:rFonts w:ascii="Times New Roman" w:hAnsi="Times New Roman" w:cs="Times New Roman"/>
                <w:sz w:val="19"/>
                <w:szCs w:val="19"/>
              </w:rPr>
              <w:t>100%</w:t>
            </w:r>
          </w:p>
        </w:tc>
      </w:tr>
    </w:tbl>
    <w:p w:rsidR="00DC2C0F" w:rsidRPr="00A955CB" w:rsidRDefault="00623909" w:rsidP="00623909">
      <w:pPr>
        <w:jc w:val="both"/>
        <w:rPr>
          <w:rFonts w:ascii="Times New Roman" w:hAnsi="Times New Roman" w:cs="Times New Roman"/>
          <w:sz w:val="18"/>
          <w:szCs w:val="18"/>
        </w:rPr>
      </w:pPr>
      <w:r w:rsidRPr="00A955CB">
        <w:rPr>
          <w:rFonts w:ascii="Times New Roman" w:hAnsi="Times New Roman" w:cs="Times New Roman"/>
          <w:sz w:val="18"/>
          <w:szCs w:val="18"/>
        </w:rPr>
        <w:t>Fuente: Elaboración propia.</w:t>
      </w:r>
    </w:p>
    <w:p w:rsidR="00504185" w:rsidRPr="00C37F15" w:rsidRDefault="00B7168F" w:rsidP="0037039D">
      <w:pPr>
        <w:spacing w:line="276" w:lineRule="auto"/>
        <w:ind w:firstLine="708"/>
        <w:jc w:val="both"/>
        <w:rPr>
          <w:rFonts w:ascii="Times New Roman" w:hAnsi="Times New Roman" w:cs="Times New Roman"/>
          <w:sz w:val="19"/>
          <w:szCs w:val="19"/>
        </w:rPr>
      </w:pPr>
      <w:r w:rsidRPr="00C37F15">
        <w:rPr>
          <w:rFonts w:ascii="Times New Roman" w:hAnsi="Times New Roman" w:cs="Times New Roman"/>
          <w:sz w:val="19"/>
          <w:szCs w:val="19"/>
        </w:rPr>
        <w:lastRenderedPageBreak/>
        <w:t>La</w:t>
      </w:r>
      <w:r w:rsidR="00FD68C4" w:rsidRPr="00C37F15">
        <w:rPr>
          <w:rFonts w:ascii="Times New Roman" w:hAnsi="Times New Roman" w:cs="Times New Roman"/>
          <w:sz w:val="19"/>
          <w:szCs w:val="19"/>
        </w:rPr>
        <w:t xml:space="preserve"> tabla 1 </w:t>
      </w:r>
      <w:r w:rsidRPr="00C37F15">
        <w:rPr>
          <w:rFonts w:ascii="Times New Roman" w:hAnsi="Times New Roman" w:cs="Times New Roman"/>
          <w:sz w:val="19"/>
          <w:szCs w:val="19"/>
        </w:rPr>
        <w:t xml:space="preserve"> muestra que existe un </w:t>
      </w:r>
      <w:r w:rsidR="00C623ED">
        <w:rPr>
          <w:rFonts w:ascii="Times New Roman" w:hAnsi="Times New Roman" w:cs="Times New Roman"/>
          <w:sz w:val="19"/>
          <w:szCs w:val="19"/>
        </w:rPr>
        <w:t xml:space="preserve">mayor </w:t>
      </w:r>
      <w:r w:rsidRPr="00C37F15">
        <w:rPr>
          <w:rFonts w:ascii="Times New Roman" w:hAnsi="Times New Roman" w:cs="Times New Roman"/>
          <w:sz w:val="19"/>
          <w:szCs w:val="19"/>
        </w:rPr>
        <w:t>po</w:t>
      </w:r>
      <w:r w:rsidR="00C623ED">
        <w:rPr>
          <w:rFonts w:ascii="Times New Roman" w:hAnsi="Times New Roman" w:cs="Times New Roman"/>
          <w:sz w:val="19"/>
          <w:szCs w:val="19"/>
        </w:rPr>
        <w:t>rcentaje de mujeres teniendo un 72%, mientras que el 28% está conformado por</w:t>
      </w:r>
      <w:r w:rsidR="006D761F" w:rsidRPr="00C37F15">
        <w:rPr>
          <w:rFonts w:ascii="Times New Roman" w:hAnsi="Times New Roman" w:cs="Times New Roman"/>
          <w:sz w:val="19"/>
          <w:szCs w:val="19"/>
        </w:rPr>
        <w:t xml:space="preserve"> hombres.</w:t>
      </w:r>
    </w:p>
    <w:p w:rsidR="006D761F" w:rsidRDefault="006D761F" w:rsidP="006D761F">
      <w:pPr>
        <w:spacing w:line="276" w:lineRule="auto"/>
        <w:jc w:val="both"/>
        <w:rPr>
          <w:rFonts w:ascii="Times New Roman" w:hAnsi="Times New Roman" w:cs="Times New Roman"/>
          <w:sz w:val="19"/>
          <w:szCs w:val="19"/>
        </w:rPr>
      </w:pPr>
      <w:r w:rsidRPr="00C37F15">
        <w:rPr>
          <w:rFonts w:ascii="Times New Roman" w:hAnsi="Times New Roman" w:cs="Times New Roman"/>
          <w:sz w:val="19"/>
          <w:szCs w:val="19"/>
        </w:rPr>
        <w:tab/>
        <w:t xml:space="preserve"> La siguiente tabla muestra que el mayor n</w:t>
      </w:r>
      <w:r w:rsidR="00C623ED">
        <w:rPr>
          <w:rFonts w:ascii="Times New Roman" w:hAnsi="Times New Roman" w:cs="Times New Roman"/>
          <w:sz w:val="19"/>
          <w:szCs w:val="19"/>
        </w:rPr>
        <w:t>úmero de estudiantes que presta su servicio en dicho programa, pertenece</w:t>
      </w:r>
      <w:r w:rsidRPr="00C37F15">
        <w:rPr>
          <w:rFonts w:ascii="Times New Roman" w:hAnsi="Times New Roman" w:cs="Times New Roman"/>
          <w:sz w:val="19"/>
          <w:szCs w:val="19"/>
        </w:rPr>
        <w:t xml:space="preserve"> a la Licenciatura en Economía y  también en su mayoría son mujeres.</w:t>
      </w:r>
    </w:p>
    <w:p w:rsidR="00290598" w:rsidRPr="00C37F15" w:rsidRDefault="00623909" w:rsidP="00BD7B29">
      <w:pPr>
        <w:jc w:val="both"/>
        <w:rPr>
          <w:rFonts w:ascii="Times New Roman" w:hAnsi="Times New Roman" w:cs="Times New Roman"/>
          <w:sz w:val="19"/>
          <w:szCs w:val="19"/>
        </w:rPr>
      </w:pPr>
      <w:r w:rsidRPr="00623909">
        <w:rPr>
          <w:rFonts w:ascii="Times New Roman" w:hAnsi="Times New Roman" w:cs="Times New Roman"/>
          <w:sz w:val="19"/>
          <w:szCs w:val="19"/>
        </w:rPr>
        <w:t>Tabla 2:</w:t>
      </w:r>
      <w:r w:rsidR="00FD68C4" w:rsidRPr="00623909">
        <w:rPr>
          <w:rFonts w:ascii="Times New Roman" w:hAnsi="Times New Roman" w:cs="Times New Roman"/>
          <w:sz w:val="19"/>
          <w:szCs w:val="19"/>
        </w:rPr>
        <w:t xml:space="preserve"> Número</w:t>
      </w:r>
      <w:r w:rsidR="00FD68C4" w:rsidRPr="00C37F15">
        <w:rPr>
          <w:rFonts w:ascii="Times New Roman" w:hAnsi="Times New Roman" w:cs="Times New Roman"/>
          <w:sz w:val="19"/>
          <w:szCs w:val="19"/>
        </w:rPr>
        <w:t xml:space="preserve"> de alumnos</w:t>
      </w:r>
      <w:r w:rsidR="007779C0" w:rsidRPr="00C37F15">
        <w:rPr>
          <w:rFonts w:ascii="Times New Roman" w:hAnsi="Times New Roman" w:cs="Times New Roman"/>
          <w:sz w:val="19"/>
          <w:szCs w:val="19"/>
        </w:rPr>
        <w:t xml:space="preserve"> por</w:t>
      </w:r>
      <w:r w:rsidR="00C623ED">
        <w:rPr>
          <w:rFonts w:ascii="Times New Roman" w:hAnsi="Times New Roman" w:cs="Times New Roman"/>
          <w:sz w:val="19"/>
          <w:szCs w:val="19"/>
        </w:rPr>
        <w:t xml:space="preserve"> Licenciatura </w:t>
      </w:r>
      <w:r w:rsidR="007779C0" w:rsidRPr="00C37F15">
        <w:rPr>
          <w:rFonts w:ascii="Times New Roman" w:hAnsi="Times New Roman" w:cs="Times New Roman"/>
          <w:sz w:val="19"/>
          <w:szCs w:val="19"/>
        </w:rPr>
        <w:t>prestadores de servicio</w:t>
      </w:r>
      <w:r w:rsidR="007861DC">
        <w:rPr>
          <w:rFonts w:ascii="Times New Roman" w:hAnsi="Times New Roman" w:cs="Times New Roman"/>
          <w:sz w:val="19"/>
          <w:szCs w:val="19"/>
        </w:rPr>
        <w:t xml:space="preserve"> social</w:t>
      </w:r>
      <w:r w:rsidR="007779C0" w:rsidRPr="00C37F15">
        <w:rPr>
          <w:rFonts w:ascii="Times New Roman" w:hAnsi="Times New Roman" w:cs="Times New Roman"/>
          <w:sz w:val="19"/>
          <w:szCs w:val="19"/>
        </w:rPr>
        <w:t xml:space="preserve"> en</w:t>
      </w:r>
      <w:r w:rsidR="006D761F" w:rsidRPr="00C37F15">
        <w:rPr>
          <w:rFonts w:ascii="Times New Roman" w:hAnsi="Times New Roman" w:cs="Times New Roman"/>
          <w:sz w:val="19"/>
          <w:szCs w:val="19"/>
        </w:rPr>
        <w:t xml:space="preserve"> el</w:t>
      </w:r>
      <w:r w:rsidR="0093111A" w:rsidRPr="00C37F15">
        <w:rPr>
          <w:rFonts w:ascii="Times New Roman" w:hAnsi="Times New Roman" w:cs="Times New Roman"/>
          <w:sz w:val="19"/>
          <w:szCs w:val="19"/>
        </w:rPr>
        <w:t xml:space="preserve"> </w:t>
      </w:r>
      <w:r w:rsidR="006D761F" w:rsidRPr="00C37F15">
        <w:rPr>
          <w:rFonts w:ascii="Times New Roman" w:hAnsi="Times New Roman" w:cs="Times New Roman"/>
          <w:sz w:val="19"/>
          <w:szCs w:val="19"/>
        </w:rPr>
        <w:t xml:space="preserve">Programa </w:t>
      </w:r>
      <w:proofErr w:type="spellStart"/>
      <w:r w:rsidR="006D761F" w:rsidRPr="00C37F15">
        <w:rPr>
          <w:rFonts w:ascii="Times New Roman" w:hAnsi="Times New Roman" w:cs="Times New Roman"/>
          <w:sz w:val="19"/>
          <w:szCs w:val="19"/>
        </w:rPr>
        <w:t>Ujat-Peraj</w:t>
      </w:r>
      <w:proofErr w:type="spellEnd"/>
      <w:r w:rsidR="006D761F" w:rsidRPr="00C37F15">
        <w:rPr>
          <w:rFonts w:ascii="Times New Roman" w:hAnsi="Times New Roman" w:cs="Times New Roman"/>
          <w:sz w:val="19"/>
          <w:szCs w:val="19"/>
        </w:rPr>
        <w:t xml:space="preserve"> adopta un </w:t>
      </w:r>
      <w:proofErr w:type="spellStart"/>
      <w:r w:rsidR="006D761F" w:rsidRPr="00C37F15">
        <w:rPr>
          <w:rFonts w:ascii="Times New Roman" w:hAnsi="Times New Roman" w:cs="Times New Roman"/>
          <w:sz w:val="19"/>
          <w:szCs w:val="19"/>
        </w:rPr>
        <w:t>amig</w:t>
      </w:r>
      <w:proofErr w:type="spellEnd"/>
      <w:r w:rsidR="006D761F" w:rsidRPr="00C37F15">
        <w:rPr>
          <w:rFonts w:ascii="Times New Roman" w:hAnsi="Times New Roman" w:cs="Times New Roman"/>
          <w:sz w:val="19"/>
          <w:szCs w:val="19"/>
        </w:rPr>
        <w:t xml:space="preserve">@ </w:t>
      </w:r>
      <w:r w:rsidR="00FD68C4" w:rsidRPr="00C37F15">
        <w:rPr>
          <w:rFonts w:ascii="Times New Roman" w:hAnsi="Times New Roman" w:cs="Times New Roman"/>
          <w:sz w:val="19"/>
          <w:szCs w:val="19"/>
        </w:rPr>
        <w:t xml:space="preserve"> de acuerdo al G</w:t>
      </w:r>
      <w:r w:rsidR="00DC2C0F" w:rsidRPr="00C37F15">
        <w:rPr>
          <w:rFonts w:ascii="Times New Roman" w:hAnsi="Times New Roman" w:cs="Times New Roman"/>
          <w:sz w:val="19"/>
          <w:szCs w:val="19"/>
        </w:rPr>
        <w:t>énero</w:t>
      </w:r>
      <w:r w:rsidR="00A63F01" w:rsidRPr="00C37F15">
        <w:rPr>
          <w:rFonts w:ascii="Times New Roman" w:hAnsi="Times New Roman" w:cs="Times New Roman"/>
          <w:sz w:val="19"/>
          <w:szCs w:val="19"/>
        </w:rPr>
        <w: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496"/>
        <w:gridCol w:w="1496"/>
        <w:gridCol w:w="1496"/>
        <w:gridCol w:w="1497"/>
        <w:gridCol w:w="1497"/>
      </w:tblGrid>
      <w:tr w:rsidR="00504185" w:rsidRPr="00C37F15" w:rsidTr="00504185">
        <w:tc>
          <w:tcPr>
            <w:tcW w:w="1388" w:type="dxa"/>
            <w:tcBorders>
              <w:top w:val="single" w:sz="4" w:space="0" w:color="auto"/>
              <w:bottom w:val="single" w:sz="4" w:space="0" w:color="auto"/>
            </w:tcBorders>
          </w:tcPr>
          <w:p w:rsidR="00FD68C4" w:rsidRPr="00C37F15" w:rsidRDefault="00FD68C4" w:rsidP="00F443FE">
            <w:pPr>
              <w:rPr>
                <w:rFonts w:ascii="Times New Roman" w:hAnsi="Times New Roman" w:cs="Times New Roman"/>
                <w:sz w:val="19"/>
                <w:szCs w:val="19"/>
              </w:rPr>
            </w:pPr>
            <w:r w:rsidRPr="00C37F15">
              <w:rPr>
                <w:rFonts w:ascii="Times New Roman" w:hAnsi="Times New Roman" w:cs="Times New Roman"/>
                <w:sz w:val="19"/>
                <w:szCs w:val="19"/>
              </w:rPr>
              <w:t>Licenciatura</w:t>
            </w:r>
          </w:p>
        </w:tc>
        <w:tc>
          <w:tcPr>
            <w:tcW w:w="1496" w:type="dxa"/>
            <w:tcBorders>
              <w:top w:val="single" w:sz="4" w:space="0" w:color="auto"/>
              <w:bottom w:val="single" w:sz="4" w:space="0" w:color="auto"/>
            </w:tcBorders>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Masculino</w:t>
            </w:r>
          </w:p>
        </w:tc>
        <w:tc>
          <w:tcPr>
            <w:tcW w:w="1496" w:type="dxa"/>
            <w:tcBorders>
              <w:top w:val="single" w:sz="4" w:space="0" w:color="auto"/>
              <w:bottom w:val="single" w:sz="4" w:space="0" w:color="auto"/>
            </w:tcBorders>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w:t>
            </w:r>
          </w:p>
        </w:tc>
        <w:tc>
          <w:tcPr>
            <w:tcW w:w="1496" w:type="dxa"/>
            <w:tcBorders>
              <w:top w:val="single" w:sz="4" w:space="0" w:color="auto"/>
              <w:bottom w:val="single" w:sz="4" w:space="0" w:color="auto"/>
            </w:tcBorders>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Femenino</w:t>
            </w:r>
          </w:p>
        </w:tc>
        <w:tc>
          <w:tcPr>
            <w:tcW w:w="1497" w:type="dxa"/>
            <w:tcBorders>
              <w:top w:val="single" w:sz="4" w:space="0" w:color="auto"/>
              <w:bottom w:val="single" w:sz="4" w:space="0" w:color="auto"/>
            </w:tcBorders>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w:t>
            </w:r>
          </w:p>
        </w:tc>
        <w:tc>
          <w:tcPr>
            <w:tcW w:w="1497" w:type="dxa"/>
            <w:tcBorders>
              <w:top w:val="single" w:sz="4" w:space="0" w:color="auto"/>
              <w:bottom w:val="single" w:sz="4" w:space="0" w:color="auto"/>
            </w:tcBorders>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Total</w:t>
            </w:r>
          </w:p>
        </w:tc>
      </w:tr>
      <w:tr w:rsidR="00504185" w:rsidRPr="00C37F15" w:rsidTr="00504185">
        <w:tc>
          <w:tcPr>
            <w:tcW w:w="1388" w:type="dxa"/>
            <w:tcBorders>
              <w:top w:val="single" w:sz="4" w:space="0" w:color="auto"/>
            </w:tcBorders>
          </w:tcPr>
          <w:p w:rsidR="00FD68C4" w:rsidRPr="00C37F15" w:rsidRDefault="00FD68C4" w:rsidP="00F443FE">
            <w:pPr>
              <w:rPr>
                <w:rFonts w:ascii="Times New Roman" w:hAnsi="Times New Roman" w:cs="Times New Roman"/>
                <w:sz w:val="19"/>
                <w:szCs w:val="19"/>
              </w:rPr>
            </w:pPr>
            <w:r w:rsidRPr="00C37F15">
              <w:rPr>
                <w:rFonts w:ascii="Times New Roman" w:hAnsi="Times New Roman" w:cs="Times New Roman"/>
                <w:sz w:val="19"/>
                <w:szCs w:val="19"/>
              </w:rPr>
              <w:t>Administración</w:t>
            </w:r>
          </w:p>
        </w:tc>
        <w:tc>
          <w:tcPr>
            <w:tcW w:w="1496" w:type="dxa"/>
            <w:tcBorders>
              <w:top w:val="single" w:sz="4" w:space="0" w:color="auto"/>
            </w:tcBorders>
          </w:tcPr>
          <w:p w:rsidR="00FD68C4" w:rsidRPr="00C37F15" w:rsidRDefault="00FD68C4" w:rsidP="00016739">
            <w:pPr>
              <w:jc w:val="center"/>
              <w:rPr>
                <w:rFonts w:ascii="Times New Roman" w:hAnsi="Times New Roman" w:cs="Times New Roman"/>
                <w:sz w:val="19"/>
                <w:szCs w:val="19"/>
              </w:rPr>
            </w:pPr>
          </w:p>
        </w:tc>
        <w:tc>
          <w:tcPr>
            <w:tcW w:w="1496" w:type="dxa"/>
            <w:tcBorders>
              <w:top w:val="single" w:sz="4" w:space="0" w:color="auto"/>
            </w:tcBorders>
          </w:tcPr>
          <w:p w:rsidR="00FD68C4" w:rsidRPr="00C37F15" w:rsidRDefault="00FD68C4" w:rsidP="00016739">
            <w:pPr>
              <w:jc w:val="center"/>
              <w:rPr>
                <w:rFonts w:ascii="Times New Roman" w:hAnsi="Times New Roman" w:cs="Times New Roman"/>
                <w:sz w:val="19"/>
                <w:szCs w:val="19"/>
              </w:rPr>
            </w:pPr>
          </w:p>
        </w:tc>
        <w:tc>
          <w:tcPr>
            <w:tcW w:w="1496" w:type="dxa"/>
            <w:tcBorders>
              <w:top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1</w:t>
            </w:r>
          </w:p>
        </w:tc>
        <w:tc>
          <w:tcPr>
            <w:tcW w:w="1497" w:type="dxa"/>
            <w:tcBorders>
              <w:top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16.70%</w:t>
            </w:r>
          </w:p>
        </w:tc>
        <w:tc>
          <w:tcPr>
            <w:tcW w:w="1497" w:type="dxa"/>
            <w:tcBorders>
              <w:top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4.80%</w:t>
            </w:r>
          </w:p>
        </w:tc>
      </w:tr>
      <w:tr w:rsidR="00504185" w:rsidRPr="00C37F15" w:rsidTr="00504185">
        <w:tc>
          <w:tcPr>
            <w:tcW w:w="1388" w:type="dxa"/>
          </w:tcPr>
          <w:p w:rsidR="00FD68C4" w:rsidRPr="00C37F15" w:rsidRDefault="00FD68C4" w:rsidP="00F443FE">
            <w:pPr>
              <w:rPr>
                <w:rFonts w:ascii="Times New Roman" w:hAnsi="Times New Roman" w:cs="Times New Roman"/>
                <w:sz w:val="19"/>
                <w:szCs w:val="19"/>
              </w:rPr>
            </w:pPr>
            <w:r w:rsidRPr="00C37F15">
              <w:rPr>
                <w:rFonts w:ascii="Times New Roman" w:hAnsi="Times New Roman" w:cs="Times New Roman"/>
                <w:sz w:val="19"/>
                <w:szCs w:val="19"/>
              </w:rPr>
              <w:t>Contaduría</w:t>
            </w:r>
          </w:p>
        </w:tc>
        <w:tc>
          <w:tcPr>
            <w:tcW w:w="1496" w:type="dxa"/>
          </w:tcPr>
          <w:p w:rsidR="00FD68C4" w:rsidRPr="00C37F15" w:rsidRDefault="00FD68C4" w:rsidP="00016739">
            <w:pPr>
              <w:jc w:val="center"/>
              <w:rPr>
                <w:rFonts w:ascii="Times New Roman" w:hAnsi="Times New Roman" w:cs="Times New Roman"/>
                <w:sz w:val="19"/>
                <w:szCs w:val="19"/>
              </w:rPr>
            </w:pPr>
          </w:p>
        </w:tc>
        <w:tc>
          <w:tcPr>
            <w:tcW w:w="1496" w:type="dxa"/>
          </w:tcPr>
          <w:p w:rsidR="00FD68C4" w:rsidRPr="00C37F15" w:rsidRDefault="00FD68C4" w:rsidP="00016739">
            <w:pPr>
              <w:jc w:val="center"/>
              <w:rPr>
                <w:rFonts w:ascii="Times New Roman" w:hAnsi="Times New Roman" w:cs="Times New Roman"/>
                <w:sz w:val="19"/>
                <w:szCs w:val="19"/>
              </w:rPr>
            </w:pPr>
          </w:p>
        </w:tc>
        <w:tc>
          <w:tcPr>
            <w:tcW w:w="1496" w:type="dxa"/>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1</w:t>
            </w:r>
          </w:p>
        </w:tc>
        <w:tc>
          <w:tcPr>
            <w:tcW w:w="1497" w:type="dxa"/>
          </w:tcPr>
          <w:p w:rsidR="00FD68C4" w:rsidRPr="00C37F15" w:rsidRDefault="00FD68C4" w:rsidP="00016739">
            <w:pPr>
              <w:jc w:val="center"/>
              <w:rPr>
                <w:rFonts w:ascii="Times New Roman" w:hAnsi="Times New Roman" w:cs="Times New Roman"/>
                <w:sz w:val="19"/>
                <w:szCs w:val="19"/>
              </w:rPr>
            </w:pPr>
            <w:r w:rsidRPr="00C37F15">
              <w:rPr>
                <w:rFonts w:ascii="Times New Roman" w:hAnsi="Times New Roman" w:cs="Times New Roman"/>
                <w:sz w:val="19"/>
                <w:szCs w:val="19"/>
              </w:rPr>
              <w:t>6.7</w:t>
            </w:r>
            <w:r w:rsidR="00504185" w:rsidRPr="00C37F15">
              <w:rPr>
                <w:rFonts w:ascii="Times New Roman" w:hAnsi="Times New Roman" w:cs="Times New Roman"/>
                <w:sz w:val="19"/>
                <w:szCs w:val="19"/>
              </w:rPr>
              <w:t>0</w:t>
            </w:r>
            <w:r w:rsidRPr="00C37F15">
              <w:rPr>
                <w:rFonts w:ascii="Times New Roman" w:hAnsi="Times New Roman" w:cs="Times New Roman"/>
                <w:sz w:val="19"/>
                <w:szCs w:val="19"/>
              </w:rPr>
              <w:t>%</w:t>
            </w:r>
          </w:p>
        </w:tc>
        <w:tc>
          <w:tcPr>
            <w:tcW w:w="1497"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4.80%</w:t>
            </w:r>
          </w:p>
        </w:tc>
      </w:tr>
      <w:tr w:rsidR="00504185" w:rsidRPr="00C37F15" w:rsidTr="00504185">
        <w:tc>
          <w:tcPr>
            <w:tcW w:w="1388" w:type="dxa"/>
          </w:tcPr>
          <w:p w:rsidR="00FD68C4" w:rsidRPr="00C37F15" w:rsidRDefault="00FD68C4" w:rsidP="00F443FE">
            <w:pPr>
              <w:rPr>
                <w:rFonts w:ascii="Times New Roman" w:hAnsi="Times New Roman" w:cs="Times New Roman"/>
                <w:sz w:val="19"/>
                <w:szCs w:val="19"/>
              </w:rPr>
            </w:pPr>
            <w:r w:rsidRPr="00C37F15">
              <w:rPr>
                <w:rFonts w:ascii="Times New Roman" w:hAnsi="Times New Roman" w:cs="Times New Roman"/>
                <w:sz w:val="19"/>
                <w:szCs w:val="19"/>
              </w:rPr>
              <w:t>Mercadotecnia</w:t>
            </w:r>
          </w:p>
        </w:tc>
        <w:tc>
          <w:tcPr>
            <w:tcW w:w="1496"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1</w:t>
            </w:r>
          </w:p>
        </w:tc>
        <w:tc>
          <w:tcPr>
            <w:tcW w:w="1496"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16.70</w:t>
            </w:r>
            <w:r w:rsidR="00FD68C4" w:rsidRPr="00C37F15">
              <w:rPr>
                <w:rFonts w:ascii="Times New Roman" w:hAnsi="Times New Roman" w:cs="Times New Roman"/>
                <w:sz w:val="19"/>
                <w:szCs w:val="19"/>
              </w:rPr>
              <w:t>%</w:t>
            </w:r>
          </w:p>
        </w:tc>
        <w:tc>
          <w:tcPr>
            <w:tcW w:w="1496" w:type="dxa"/>
          </w:tcPr>
          <w:p w:rsidR="00FD68C4" w:rsidRPr="00C37F15" w:rsidRDefault="00FD68C4" w:rsidP="00016739">
            <w:pPr>
              <w:jc w:val="center"/>
              <w:rPr>
                <w:rFonts w:ascii="Times New Roman" w:hAnsi="Times New Roman" w:cs="Times New Roman"/>
                <w:sz w:val="19"/>
                <w:szCs w:val="19"/>
              </w:rPr>
            </w:pPr>
          </w:p>
        </w:tc>
        <w:tc>
          <w:tcPr>
            <w:tcW w:w="1497" w:type="dxa"/>
          </w:tcPr>
          <w:p w:rsidR="00FD68C4" w:rsidRPr="00C37F15" w:rsidRDefault="00FD68C4" w:rsidP="00016739">
            <w:pPr>
              <w:jc w:val="center"/>
              <w:rPr>
                <w:rFonts w:ascii="Times New Roman" w:hAnsi="Times New Roman" w:cs="Times New Roman"/>
                <w:sz w:val="19"/>
                <w:szCs w:val="19"/>
              </w:rPr>
            </w:pPr>
          </w:p>
        </w:tc>
        <w:tc>
          <w:tcPr>
            <w:tcW w:w="1497"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4.80%</w:t>
            </w:r>
          </w:p>
        </w:tc>
      </w:tr>
      <w:tr w:rsidR="00504185" w:rsidRPr="00C37F15" w:rsidTr="00504185">
        <w:tc>
          <w:tcPr>
            <w:tcW w:w="1388" w:type="dxa"/>
          </w:tcPr>
          <w:p w:rsidR="00FD68C4" w:rsidRPr="00C37F15" w:rsidRDefault="00FD68C4" w:rsidP="00F443FE">
            <w:pPr>
              <w:rPr>
                <w:rFonts w:ascii="Times New Roman" w:hAnsi="Times New Roman" w:cs="Times New Roman"/>
                <w:sz w:val="19"/>
                <w:szCs w:val="19"/>
              </w:rPr>
            </w:pPr>
            <w:r w:rsidRPr="00C37F15">
              <w:rPr>
                <w:rFonts w:ascii="Times New Roman" w:hAnsi="Times New Roman" w:cs="Times New Roman"/>
                <w:sz w:val="19"/>
                <w:szCs w:val="19"/>
              </w:rPr>
              <w:t>Economía</w:t>
            </w:r>
          </w:p>
        </w:tc>
        <w:tc>
          <w:tcPr>
            <w:tcW w:w="1496"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3</w:t>
            </w:r>
          </w:p>
        </w:tc>
        <w:tc>
          <w:tcPr>
            <w:tcW w:w="1496"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50.00</w:t>
            </w:r>
            <w:r w:rsidR="00FD68C4" w:rsidRPr="00C37F15">
              <w:rPr>
                <w:rFonts w:ascii="Times New Roman" w:hAnsi="Times New Roman" w:cs="Times New Roman"/>
                <w:sz w:val="19"/>
                <w:szCs w:val="19"/>
              </w:rPr>
              <w:t>%</w:t>
            </w:r>
          </w:p>
        </w:tc>
        <w:tc>
          <w:tcPr>
            <w:tcW w:w="1496"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8</w:t>
            </w:r>
          </w:p>
        </w:tc>
        <w:tc>
          <w:tcPr>
            <w:tcW w:w="1497"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53.30</w:t>
            </w:r>
            <w:r w:rsidR="00FD68C4" w:rsidRPr="00C37F15">
              <w:rPr>
                <w:rFonts w:ascii="Times New Roman" w:hAnsi="Times New Roman" w:cs="Times New Roman"/>
                <w:sz w:val="19"/>
                <w:szCs w:val="19"/>
              </w:rPr>
              <w:t>%</w:t>
            </w:r>
          </w:p>
        </w:tc>
        <w:tc>
          <w:tcPr>
            <w:tcW w:w="1497" w:type="dxa"/>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52.30%</w:t>
            </w:r>
          </w:p>
        </w:tc>
      </w:tr>
      <w:tr w:rsidR="00504185" w:rsidRPr="00C37F15" w:rsidTr="00504185">
        <w:tc>
          <w:tcPr>
            <w:tcW w:w="1388" w:type="dxa"/>
            <w:tcBorders>
              <w:bottom w:val="single" w:sz="4" w:space="0" w:color="auto"/>
            </w:tcBorders>
          </w:tcPr>
          <w:p w:rsidR="00FD68C4" w:rsidRPr="00C37F15" w:rsidRDefault="00FD68C4" w:rsidP="00F443FE">
            <w:pPr>
              <w:rPr>
                <w:rFonts w:ascii="Times New Roman" w:hAnsi="Times New Roman" w:cs="Times New Roman"/>
                <w:sz w:val="19"/>
                <w:szCs w:val="19"/>
              </w:rPr>
            </w:pPr>
            <w:r w:rsidRPr="00C37F15">
              <w:rPr>
                <w:rFonts w:ascii="Times New Roman" w:hAnsi="Times New Roman" w:cs="Times New Roman"/>
                <w:sz w:val="19"/>
                <w:szCs w:val="19"/>
              </w:rPr>
              <w:t>Relaciones Comerciales</w:t>
            </w:r>
          </w:p>
        </w:tc>
        <w:tc>
          <w:tcPr>
            <w:tcW w:w="1496" w:type="dxa"/>
            <w:tcBorders>
              <w:bottom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2</w:t>
            </w:r>
          </w:p>
        </w:tc>
        <w:tc>
          <w:tcPr>
            <w:tcW w:w="1496" w:type="dxa"/>
            <w:tcBorders>
              <w:bottom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33.30</w:t>
            </w:r>
            <w:r w:rsidR="00FD68C4" w:rsidRPr="00C37F15">
              <w:rPr>
                <w:rFonts w:ascii="Times New Roman" w:hAnsi="Times New Roman" w:cs="Times New Roman"/>
                <w:sz w:val="19"/>
                <w:szCs w:val="19"/>
              </w:rPr>
              <w:t>%</w:t>
            </w:r>
          </w:p>
        </w:tc>
        <w:tc>
          <w:tcPr>
            <w:tcW w:w="1496" w:type="dxa"/>
            <w:tcBorders>
              <w:bottom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5</w:t>
            </w:r>
          </w:p>
        </w:tc>
        <w:tc>
          <w:tcPr>
            <w:tcW w:w="1497" w:type="dxa"/>
            <w:tcBorders>
              <w:bottom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33.30%</w:t>
            </w:r>
          </w:p>
        </w:tc>
        <w:tc>
          <w:tcPr>
            <w:tcW w:w="1497" w:type="dxa"/>
            <w:tcBorders>
              <w:bottom w:val="single" w:sz="4" w:space="0" w:color="auto"/>
            </w:tcBorders>
          </w:tcPr>
          <w:p w:rsidR="00FD68C4"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33.30%</w:t>
            </w:r>
          </w:p>
        </w:tc>
      </w:tr>
      <w:tr w:rsidR="00504185" w:rsidRPr="00C37F15" w:rsidTr="00504185">
        <w:tc>
          <w:tcPr>
            <w:tcW w:w="1388" w:type="dxa"/>
            <w:tcBorders>
              <w:top w:val="single" w:sz="4" w:space="0" w:color="auto"/>
              <w:bottom w:val="single" w:sz="4" w:space="0" w:color="auto"/>
            </w:tcBorders>
          </w:tcPr>
          <w:p w:rsidR="00504185"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Total</w:t>
            </w:r>
          </w:p>
        </w:tc>
        <w:tc>
          <w:tcPr>
            <w:tcW w:w="1496" w:type="dxa"/>
            <w:tcBorders>
              <w:top w:val="single" w:sz="4" w:space="0" w:color="auto"/>
              <w:bottom w:val="single" w:sz="4" w:space="0" w:color="auto"/>
            </w:tcBorders>
          </w:tcPr>
          <w:p w:rsidR="00504185"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6</w:t>
            </w:r>
          </w:p>
        </w:tc>
        <w:tc>
          <w:tcPr>
            <w:tcW w:w="1496" w:type="dxa"/>
            <w:tcBorders>
              <w:top w:val="single" w:sz="4" w:space="0" w:color="auto"/>
              <w:bottom w:val="single" w:sz="4" w:space="0" w:color="auto"/>
            </w:tcBorders>
          </w:tcPr>
          <w:p w:rsidR="00504185"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28.57%%</w:t>
            </w:r>
          </w:p>
        </w:tc>
        <w:tc>
          <w:tcPr>
            <w:tcW w:w="1496" w:type="dxa"/>
            <w:tcBorders>
              <w:top w:val="single" w:sz="4" w:space="0" w:color="auto"/>
              <w:bottom w:val="single" w:sz="4" w:space="0" w:color="auto"/>
            </w:tcBorders>
          </w:tcPr>
          <w:p w:rsidR="00504185"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15</w:t>
            </w:r>
          </w:p>
        </w:tc>
        <w:tc>
          <w:tcPr>
            <w:tcW w:w="1497" w:type="dxa"/>
            <w:tcBorders>
              <w:top w:val="single" w:sz="4" w:space="0" w:color="auto"/>
              <w:bottom w:val="single" w:sz="4" w:space="0" w:color="auto"/>
            </w:tcBorders>
          </w:tcPr>
          <w:p w:rsidR="00504185"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71.43%</w:t>
            </w:r>
          </w:p>
        </w:tc>
        <w:tc>
          <w:tcPr>
            <w:tcW w:w="1497" w:type="dxa"/>
            <w:tcBorders>
              <w:top w:val="single" w:sz="4" w:space="0" w:color="auto"/>
              <w:bottom w:val="single" w:sz="4" w:space="0" w:color="auto"/>
            </w:tcBorders>
          </w:tcPr>
          <w:p w:rsidR="00504185" w:rsidRPr="00C37F15" w:rsidRDefault="00504185" w:rsidP="00016739">
            <w:pPr>
              <w:jc w:val="center"/>
              <w:rPr>
                <w:rFonts w:ascii="Times New Roman" w:hAnsi="Times New Roman" w:cs="Times New Roman"/>
                <w:sz w:val="19"/>
                <w:szCs w:val="19"/>
              </w:rPr>
            </w:pPr>
            <w:r w:rsidRPr="00C37F15">
              <w:rPr>
                <w:rFonts w:ascii="Times New Roman" w:hAnsi="Times New Roman" w:cs="Times New Roman"/>
                <w:sz w:val="19"/>
                <w:szCs w:val="19"/>
              </w:rPr>
              <w:t>100.00%</w:t>
            </w:r>
          </w:p>
        </w:tc>
      </w:tr>
    </w:tbl>
    <w:p w:rsidR="007779C0" w:rsidRDefault="00623909" w:rsidP="00A63F01">
      <w:pPr>
        <w:spacing w:line="276" w:lineRule="auto"/>
        <w:jc w:val="both"/>
        <w:rPr>
          <w:rFonts w:ascii="Times New Roman" w:hAnsi="Times New Roman" w:cs="Times New Roman"/>
          <w:sz w:val="19"/>
          <w:szCs w:val="19"/>
        </w:rPr>
      </w:pPr>
      <w:r w:rsidRPr="00A955CB">
        <w:rPr>
          <w:rFonts w:ascii="Times New Roman" w:hAnsi="Times New Roman" w:cs="Times New Roman"/>
          <w:sz w:val="18"/>
          <w:szCs w:val="19"/>
        </w:rPr>
        <w:t>Fuente: Elaboración propia</w:t>
      </w:r>
      <w:r>
        <w:rPr>
          <w:rFonts w:ascii="Times New Roman" w:hAnsi="Times New Roman" w:cs="Times New Roman"/>
          <w:sz w:val="19"/>
          <w:szCs w:val="19"/>
        </w:rPr>
        <w:t>.</w:t>
      </w:r>
    </w:p>
    <w:p w:rsidR="00C623ED" w:rsidRPr="00C37F15" w:rsidRDefault="00C623ED" w:rsidP="00C623ED">
      <w:pPr>
        <w:spacing w:line="276" w:lineRule="auto"/>
        <w:ind w:firstLine="708"/>
        <w:jc w:val="both"/>
        <w:rPr>
          <w:rFonts w:ascii="Times New Roman" w:hAnsi="Times New Roman" w:cs="Times New Roman"/>
          <w:sz w:val="19"/>
          <w:szCs w:val="19"/>
        </w:rPr>
      </w:pPr>
      <w:r>
        <w:rPr>
          <w:rFonts w:ascii="Times New Roman" w:hAnsi="Times New Roman" w:cs="Times New Roman"/>
          <w:sz w:val="19"/>
          <w:szCs w:val="19"/>
        </w:rPr>
        <w:t>En la siguiente tabla se pueden observar los indicadores de aprendizaje por género.</w:t>
      </w:r>
    </w:p>
    <w:tbl>
      <w:tblPr>
        <w:tblW w:w="895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0"/>
        <w:gridCol w:w="1836"/>
        <w:gridCol w:w="1469"/>
        <w:gridCol w:w="1469"/>
        <w:gridCol w:w="3047"/>
      </w:tblGrid>
      <w:tr w:rsidR="00FD68C4" w:rsidRPr="00C37F15" w:rsidTr="00FD68C4">
        <w:trPr>
          <w:cantSplit/>
        </w:trPr>
        <w:tc>
          <w:tcPr>
            <w:tcW w:w="8951" w:type="dxa"/>
            <w:gridSpan w:val="5"/>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bCs/>
                <w:color w:val="000000"/>
                <w:sz w:val="19"/>
                <w:szCs w:val="19"/>
              </w:rPr>
            </w:pPr>
            <w:r w:rsidRPr="00623909">
              <w:rPr>
                <w:rFonts w:ascii="Times New Roman" w:hAnsi="Times New Roman" w:cs="Times New Roman"/>
                <w:sz w:val="19"/>
                <w:szCs w:val="19"/>
              </w:rPr>
              <w:t>Tabla 3</w:t>
            </w:r>
            <w:r w:rsidR="00623909">
              <w:rPr>
                <w:rFonts w:ascii="Times New Roman" w:hAnsi="Times New Roman" w:cs="Times New Roman"/>
                <w:sz w:val="19"/>
                <w:szCs w:val="19"/>
              </w:rPr>
              <w:t xml:space="preserve">: </w:t>
            </w:r>
            <w:r w:rsidRPr="00C37F15">
              <w:rPr>
                <w:rFonts w:ascii="Times New Roman" w:hAnsi="Times New Roman" w:cs="Times New Roman"/>
                <w:bCs/>
                <w:color w:val="000000"/>
                <w:sz w:val="19"/>
                <w:szCs w:val="19"/>
              </w:rPr>
              <w:t xml:space="preserve">Indicadores de Aprendizaje </w:t>
            </w:r>
            <w:r w:rsidR="007779C0" w:rsidRPr="00C37F15">
              <w:rPr>
                <w:rFonts w:ascii="Times New Roman" w:hAnsi="Times New Roman" w:cs="Times New Roman"/>
                <w:bCs/>
                <w:color w:val="000000"/>
                <w:sz w:val="19"/>
                <w:szCs w:val="19"/>
              </w:rPr>
              <w:t>de estudiantes prestadores de s</w:t>
            </w:r>
            <w:r w:rsidR="008C1E65" w:rsidRPr="00C37F15">
              <w:rPr>
                <w:rFonts w:ascii="Times New Roman" w:hAnsi="Times New Roman" w:cs="Times New Roman"/>
                <w:bCs/>
                <w:color w:val="000000"/>
                <w:sz w:val="19"/>
                <w:szCs w:val="19"/>
              </w:rPr>
              <w:t xml:space="preserve">ervicio </w:t>
            </w:r>
            <w:r w:rsidR="007861DC">
              <w:rPr>
                <w:rFonts w:ascii="Times New Roman" w:hAnsi="Times New Roman" w:cs="Times New Roman"/>
                <w:bCs/>
                <w:color w:val="000000"/>
                <w:sz w:val="19"/>
                <w:szCs w:val="19"/>
              </w:rPr>
              <w:t xml:space="preserve">social </w:t>
            </w:r>
            <w:r w:rsidR="008C1E65" w:rsidRPr="00C37F15">
              <w:rPr>
                <w:rFonts w:ascii="Times New Roman" w:hAnsi="Times New Roman" w:cs="Times New Roman"/>
                <w:bCs/>
                <w:color w:val="000000"/>
                <w:sz w:val="19"/>
                <w:szCs w:val="19"/>
              </w:rPr>
              <w:t xml:space="preserve">en el </w:t>
            </w:r>
            <w:r w:rsidR="006D761F" w:rsidRPr="00C37F15">
              <w:rPr>
                <w:rFonts w:ascii="Times New Roman" w:hAnsi="Times New Roman" w:cs="Times New Roman"/>
                <w:bCs/>
                <w:color w:val="000000"/>
                <w:sz w:val="19"/>
                <w:szCs w:val="19"/>
              </w:rPr>
              <w:t xml:space="preserve">en el Programa </w:t>
            </w:r>
            <w:proofErr w:type="spellStart"/>
            <w:r w:rsidR="006D761F" w:rsidRPr="00C37F15">
              <w:rPr>
                <w:rFonts w:ascii="Times New Roman" w:hAnsi="Times New Roman" w:cs="Times New Roman"/>
                <w:bCs/>
                <w:color w:val="000000"/>
                <w:sz w:val="19"/>
                <w:szCs w:val="19"/>
              </w:rPr>
              <w:t>Ujat-Peraj</w:t>
            </w:r>
            <w:proofErr w:type="spellEnd"/>
            <w:r w:rsidR="006D761F" w:rsidRPr="00C37F15">
              <w:rPr>
                <w:rFonts w:ascii="Times New Roman" w:hAnsi="Times New Roman" w:cs="Times New Roman"/>
                <w:bCs/>
                <w:color w:val="000000"/>
                <w:sz w:val="19"/>
                <w:szCs w:val="19"/>
              </w:rPr>
              <w:t xml:space="preserve"> adopta un </w:t>
            </w:r>
            <w:proofErr w:type="spellStart"/>
            <w:r w:rsidR="006D761F" w:rsidRPr="00C37F15">
              <w:rPr>
                <w:rFonts w:ascii="Times New Roman" w:hAnsi="Times New Roman" w:cs="Times New Roman"/>
                <w:bCs/>
                <w:color w:val="000000"/>
                <w:sz w:val="19"/>
                <w:szCs w:val="19"/>
              </w:rPr>
              <w:t>amig</w:t>
            </w:r>
            <w:proofErr w:type="spellEnd"/>
            <w:r w:rsidR="006D761F" w:rsidRPr="00C37F15">
              <w:rPr>
                <w:rFonts w:ascii="Times New Roman" w:hAnsi="Times New Roman" w:cs="Times New Roman"/>
                <w:bCs/>
                <w:color w:val="000000"/>
                <w:sz w:val="19"/>
                <w:szCs w:val="19"/>
              </w:rPr>
              <w:t xml:space="preserve">@ </w:t>
            </w:r>
            <w:r w:rsidRPr="00C37F15">
              <w:rPr>
                <w:rFonts w:ascii="Times New Roman" w:hAnsi="Times New Roman" w:cs="Times New Roman"/>
                <w:bCs/>
                <w:color w:val="000000"/>
                <w:sz w:val="19"/>
                <w:szCs w:val="19"/>
              </w:rPr>
              <w:t>por Género</w:t>
            </w:r>
            <w:r w:rsidR="00A63F01" w:rsidRPr="00C37F15">
              <w:rPr>
                <w:rFonts w:ascii="Times New Roman" w:hAnsi="Times New Roman" w:cs="Times New Roman"/>
                <w:bCs/>
                <w:color w:val="000000"/>
                <w:sz w:val="19"/>
                <w:szCs w:val="19"/>
              </w:rPr>
              <w:t>.</w:t>
            </w:r>
          </w:p>
          <w:p w:rsidR="006D761F" w:rsidRPr="00C37F15" w:rsidRDefault="006D761F" w:rsidP="00A955CB">
            <w:pPr>
              <w:autoSpaceDE w:val="0"/>
              <w:autoSpaceDN w:val="0"/>
              <w:adjustRightInd w:val="0"/>
              <w:spacing w:after="0" w:line="240" w:lineRule="auto"/>
              <w:ind w:left="20" w:right="60"/>
              <w:rPr>
                <w:rFonts w:ascii="Times New Roman" w:hAnsi="Times New Roman" w:cs="Times New Roman"/>
                <w:color w:val="000000"/>
                <w:sz w:val="19"/>
                <w:szCs w:val="19"/>
              </w:rPr>
            </w:pPr>
          </w:p>
        </w:tc>
      </w:tr>
      <w:tr w:rsidR="00FD68C4" w:rsidRPr="00C37F15" w:rsidTr="00FD68C4">
        <w:trPr>
          <w:cantSplit/>
        </w:trPr>
        <w:tc>
          <w:tcPr>
            <w:tcW w:w="2966" w:type="dxa"/>
            <w:gridSpan w:val="2"/>
            <w:tcBorders>
              <w:top w:val="single" w:sz="4" w:space="0" w:color="auto"/>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Género</w:t>
            </w:r>
          </w:p>
        </w:tc>
        <w:tc>
          <w:tcPr>
            <w:tcW w:w="1469" w:type="dxa"/>
            <w:tcBorders>
              <w:top w:val="single" w:sz="4" w:space="0" w:color="auto"/>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Aprendiza</w:t>
            </w:r>
            <w:r w:rsidR="00B7168F" w:rsidRPr="00C37F15">
              <w:rPr>
                <w:rFonts w:ascii="Times New Roman" w:hAnsi="Times New Roman" w:cs="Times New Roman"/>
                <w:color w:val="000000"/>
                <w:sz w:val="19"/>
                <w:szCs w:val="19"/>
              </w:rPr>
              <w:t>je en el Desarrollo Profesional</w:t>
            </w:r>
          </w:p>
        </w:tc>
        <w:tc>
          <w:tcPr>
            <w:tcW w:w="1469" w:type="dxa"/>
            <w:tcBorders>
              <w:top w:val="single" w:sz="4" w:space="0" w:color="auto"/>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Apre</w:t>
            </w:r>
            <w:r w:rsidR="00B7168F" w:rsidRPr="00C37F15">
              <w:rPr>
                <w:rFonts w:ascii="Times New Roman" w:hAnsi="Times New Roman" w:cs="Times New Roman"/>
                <w:color w:val="000000"/>
                <w:sz w:val="19"/>
                <w:szCs w:val="19"/>
              </w:rPr>
              <w:t>ndizaje en el Desarrollo Social</w:t>
            </w:r>
          </w:p>
        </w:tc>
        <w:tc>
          <w:tcPr>
            <w:tcW w:w="3047" w:type="dxa"/>
            <w:tcBorders>
              <w:top w:val="single" w:sz="4" w:space="0" w:color="auto"/>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Aprendizaje en cuanto a Comunicación y Conocimiento.</w:t>
            </w:r>
          </w:p>
        </w:tc>
      </w:tr>
      <w:tr w:rsidR="00FD68C4" w:rsidRPr="00C37F15" w:rsidTr="00FD68C4">
        <w:trPr>
          <w:cantSplit/>
        </w:trPr>
        <w:tc>
          <w:tcPr>
            <w:tcW w:w="1130" w:type="dxa"/>
            <w:vMerge w:val="restart"/>
            <w:tcBorders>
              <w:top w:val="single" w:sz="4" w:space="0" w:color="auto"/>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Masculino</w:t>
            </w:r>
          </w:p>
        </w:tc>
        <w:tc>
          <w:tcPr>
            <w:tcW w:w="1836" w:type="dxa"/>
            <w:tcBorders>
              <w:top w:val="single" w:sz="4" w:space="0" w:color="auto"/>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Media</w:t>
            </w:r>
          </w:p>
        </w:tc>
        <w:tc>
          <w:tcPr>
            <w:tcW w:w="1469" w:type="dxa"/>
            <w:tcBorders>
              <w:top w:val="single" w:sz="4" w:space="0" w:color="auto"/>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4.5833</w:t>
            </w:r>
          </w:p>
        </w:tc>
        <w:tc>
          <w:tcPr>
            <w:tcW w:w="1469" w:type="dxa"/>
            <w:tcBorders>
              <w:top w:val="single" w:sz="4" w:space="0" w:color="auto"/>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4.3333</w:t>
            </w:r>
          </w:p>
        </w:tc>
        <w:tc>
          <w:tcPr>
            <w:tcW w:w="3047" w:type="dxa"/>
            <w:tcBorders>
              <w:top w:val="single" w:sz="4" w:space="0" w:color="auto"/>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4.3333</w:t>
            </w:r>
          </w:p>
        </w:tc>
      </w:tr>
      <w:tr w:rsidR="00FD68C4" w:rsidRPr="00C37F15" w:rsidTr="00FD68C4">
        <w:trPr>
          <w:cantSplit/>
        </w:trPr>
        <w:tc>
          <w:tcPr>
            <w:tcW w:w="1130" w:type="dxa"/>
            <w:vMerge/>
            <w:tcBorders>
              <w:top w:val="single" w:sz="18" w:space="0" w:color="000000"/>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Pr>
                <w:rFonts w:ascii="Times New Roman" w:hAnsi="Times New Roman" w:cs="Times New Roman"/>
                <w:color w:val="000000"/>
                <w:sz w:val="19"/>
                <w:szCs w:val="19"/>
              </w:rPr>
            </w:pPr>
          </w:p>
        </w:tc>
        <w:tc>
          <w:tcPr>
            <w:tcW w:w="1836" w:type="dxa"/>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N</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6</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6</w:t>
            </w:r>
          </w:p>
        </w:tc>
        <w:tc>
          <w:tcPr>
            <w:tcW w:w="3047"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6</w:t>
            </w:r>
          </w:p>
        </w:tc>
      </w:tr>
      <w:tr w:rsidR="00FD68C4" w:rsidRPr="00C37F15" w:rsidTr="00FD68C4">
        <w:trPr>
          <w:cantSplit/>
        </w:trPr>
        <w:tc>
          <w:tcPr>
            <w:tcW w:w="1130" w:type="dxa"/>
            <w:vMerge/>
            <w:tcBorders>
              <w:top w:val="single" w:sz="18" w:space="0" w:color="000000"/>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Pr>
                <w:rFonts w:ascii="Times New Roman" w:hAnsi="Times New Roman" w:cs="Times New Roman"/>
                <w:color w:val="000000"/>
                <w:sz w:val="19"/>
                <w:szCs w:val="19"/>
              </w:rPr>
            </w:pPr>
          </w:p>
        </w:tc>
        <w:tc>
          <w:tcPr>
            <w:tcW w:w="1836" w:type="dxa"/>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 de la suma total</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28.6%</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29.1%</w:t>
            </w:r>
          </w:p>
        </w:tc>
        <w:tc>
          <w:tcPr>
            <w:tcW w:w="3047"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26.5%</w:t>
            </w:r>
          </w:p>
        </w:tc>
      </w:tr>
      <w:tr w:rsidR="00FD68C4" w:rsidRPr="00C37F15" w:rsidTr="00FD68C4">
        <w:trPr>
          <w:cantSplit/>
        </w:trPr>
        <w:tc>
          <w:tcPr>
            <w:tcW w:w="1130" w:type="dxa"/>
            <w:vMerge w:val="restart"/>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Femenino</w:t>
            </w:r>
          </w:p>
        </w:tc>
        <w:tc>
          <w:tcPr>
            <w:tcW w:w="1836" w:type="dxa"/>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Media</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4.5667</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4.2333</w:t>
            </w:r>
          </w:p>
        </w:tc>
        <w:tc>
          <w:tcPr>
            <w:tcW w:w="3047"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4.8000</w:t>
            </w:r>
          </w:p>
        </w:tc>
      </w:tr>
      <w:tr w:rsidR="00FD68C4" w:rsidRPr="00C37F15" w:rsidTr="00FD68C4">
        <w:trPr>
          <w:cantSplit/>
        </w:trPr>
        <w:tc>
          <w:tcPr>
            <w:tcW w:w="1130" w:type="dxa"/>
            <w:vMerge/>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Pr>
                <w:rFonts w:ascii="Times New Roman" w:hAnsi="Times New Roman" w:cs="Times New Roman"/>
                <w:color w:val="000000"/>
                <w:sz w:val="19"/>
                <w:szCs w:val="19"/>
              </w:rPr>
            </w:pPr>
          </w:p>
        </w:tc>
        <w:tc>
          <w:tcPr>
            <w:tcW w:w="1836" w:type="dxa"/>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N</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15</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15</w:t>
            </w:r>
          </w:p>
        </w:tc>
        <w:tc>
          <w:tcPr>
            <w:tcW w:w="3047"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15</w:t>
            </w:r>
          </w:p>
        </w:tc>
      </w:tr>
      <w:tr w:rsidR="00FD68C4" w:rsidRPr="00C37F15" w:rsidTr="00FD68C4">
        <w:trPr>
          <w:cantSplit/>
          <w:trHeight w:val="456"/>
        </w:trPr>
        <w:tc>
          <w:tcPr>
            <w:tcW w:w="1130" w:type="dxa"/>
            <w:vMerge/>
            <w:tcBorders>
              <w:top w:val="nil"/>
              <w:left w:val="nil"/>
              <w:bottom w:val="single" w:sz="4" w:space="0" w:color="auto"/>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Pr>
                <w:rFonts w:ascii="Times New Roman" w:hAnsi="Times New Roman" w:cs="Times New Roman"/>
                <w:color w:val="000000"/>
                <w:sz w:val="19"/>
                <w:szCs w:val="19"/>
              </w:rPr>
            </w:pPr>
          </w:p>
        </w:tc>
        <w:tc>
          <w:tcPr>
            <w:tcW w:w="1836" w:type="dxa"/>
            <w:tcBorders>
              <w:top w:val="nil"/>
              <w:left w:val="nil"/>
              <w:bottom w:val="single" w:sz="4" w:space="0" w:color="auto"/>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 de la suma total</w:t>
            </w:r>
          </w:p>
        </w:tc>
        <w:tc>
          <w:tcPr>
            <w:tcW w:w="1469" w:type="dxa"/>
            <w:tcBorders>
              <w:top w:val="nil"/>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71.4%</w:t>
            </w:r>
          </w:p>
        </w:tc>
        <w:tc>
          <w:tcPr>
            <w:tcW w:w="1469" w:type="dxa"/>
            <w:tcBorders>
              <w:top w:val="nil"/>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70.9%</w:t>
            </w:r>
          </w:p>
        </w:tc>
        <w:tc>
          <w:tcPr>
            <w:tcW w:w="3047" w:type="dxa"/>
            <w:tcBorders>
              <w:top w:val="nil"/>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73.5%</w:t>
            </w:r>
          </w:p>
        </w:tc>
      </w:tr>
      <w:tr w:rsidR="00FD68C4" w:rsidRPr="00C37F15" w:rsidTr="00FD68C4">
        <w:trPr>
          <w:cantSplit/>
        </w:trPr>
        <w:tc>
          <w:tcPr>
            <w:tcW w:w="1130" w:type="dxa"/>
            <w:vMerge w:val="restart"/>
            <w:tcBorders>
              <w:top w:val="single" w:sz="4" w:space="0" w:color="auto"/>
              <w:left w:val="nil"/>
              <w:bottom w:val="single" w:sz="4" w:space="0" w:color="auto"/>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Total</w:t>
            </w:r>
          </w:p>
        </w:tc>
        <w:tc>
          <w:tcPr>
            <w:tcW w:w="1836" w:type="dxa"/>
            <w:tcBorders>
              <w:top w:val="single" w:sz="4" w:space="0" w:color="auto"/>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Media</w:t>
            </w:r>
          </w:p>
        </w:tc>
        <w:tc>
          <w:tcPr>
            <w:tcW w:w="1469" w:type="dxa"/>
            <w:tcBorders>
              <w:top w:val="single" w:sz="4" w:space="0" w:color="auto"/>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4.5714</w:t>
            </w:r>
          </w:p>
        </w:tc>
        <w:tc>
          <w:tcPr>
            <w:tcW w:w="1469" w:type="dxa"/>
            <w:tcBorders>
              <w:top w:val="single" w:sz="4" w:space="0" w:color="auto"/>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4.2619</w:t>
            </w:r>
          </w:p>
        </w:tc>
        <w:tc>
          <w:tcPr>
            <w:tcW w:w="3047" w:type="dxa"/>
            <w:tcBorders>
              <w:top w:val="single" w:sz="4" w:space="0" w:color="auto"/>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4.6667</w:t>
            </w:r>
          </w:p>
        </w:tc>
      </w:tr>
      <w:tr w:rsidR="00FD68C4" w:rsidRPr="00C37F15" w:rsidTr="00FD68C4">
        <w:trPr>
          <w:cantSplit/>
        </w:trPr>
        <w:tc>
          <w:tcPr>
            <w:tcW w:w="1130" w:type="dxa"/>
            <w:vMerge/>
            <w:tcBorders>
              <w:top w:val="single" w:sz="18" w:space="0" w:color="000000"/>
              <w:left w:val="nil"/>
              <w:bottom w:val="single" w:sz="4" w:space="0" w:color="auto"/>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Pr>
                <w:rFonts w:ascii="Times New Roman" w:hAnsi="Times New Roman" w:cs="Times New Roman"/>
                <w:color w:val="000000"/>
                <w:sz w:val="19"/>
                <w:szCs w:val="19"/>
              </w:rPr>
            </w:pPr>
          </w:p>
        </w:tc>
        <w:tc>
          <w:tcPr>
            <w:tcW w:w="1836" w:type="dxa"/>
            <w:tcBorders>
              <w:top w:val="nil"/>
              <w:left w:val="nil"/>
              <w:bottom w:val="nil"/>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N</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21</w:t>
            </w:r>
          </w:p>
        </w:tc>
        <w:tc>
          <w:tcPr>
            <w:tcW w:w="1469"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21</w:t>
            </w:r>
          </w:p>
        </w:tc>
        <w:tc>
          <w:tcPr>
            <w:tcW w:w="3047" w:type="dxa"/>
            <w:tcBorders>
              <w:top w:val="nil"/>
              <w:left w:val="nil"/>
              <w:bottom w:val="nil"/>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21</w:t>
            </w:r>
          </w:p>
        </w:tc>
      </w:tr>
      <w:tr w:rsidR="00FD68C4" w:rsidRPr="00C37F15" w:rsidTr="00FD68C4">
        <w:trPr>
          <w:cantSplit/>
        </w:trPr>
        <w:tc>
          <w:tcPr>
            <w:tcW w:w="1130" w:type="dxa"/>
            <w:vMerge/>
            <w:tcBorders>
              <w:top w:val="single" w:sz="18" w:space="0" w:color="000000"/>
              <w:left w:val="nil"/>
              <w:bottom w:val="single" w:sz="4" w:space="0" w:color="auto"/>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Pr>
                <w:rFonts w:ascii="Times New Roman" w:hAnsi="Times New Roman" w:cs="Times New Roman"/>
                <w:color w:val="000000"/>
                <w:sz w:val="19"/>
                <w:szCs w:val="19"/>
              </w:rPr>
            </w:pPr>
          </w:p>
        </w:tc>
        <w:tc>
          <w:tcPr>
            <w:tcW w:w="1836" w:type="dxa"/>
            <w:tcBorders>
              <w:top w:val="nil"/>
              <w:left w:val="nil"/>
              <w:bottom w:val="single" w:sz="4" w:space="0" w:color="auto"/>
              <w:right w:val="nil"/>
            </w:tcBorders>
            <w:shd w:val="clear" w:color="auto" w:fill="FFFFFF"/>
            <w:vAlign w:val="center"/>
          </w:tcPr>
          <w:p w:rsidR="00FD68C4" w:rsidRPr="00C37F15" w:rsidRDefault="00FD68C4" w:rsidP="00A955CB">
            <w:pPr>
              <w:autoSpaceDE w:val="0"/>
              <w:autoSpaceDN w:val="0"/>
              <w:adjustRightInd w:val="0"/>
              <w:spacing w:after="0" w:line="240" w:lineRule="auto"/>
              <w:ind w:left="20" w:right="60"/>
              <w:rPr>
                <w:rFonts w:ascii="Times New Roman" w:hAnsi="Times New Roman" w:cs="Times New Roman"/>
                <w:color w:val="000000"/>
                <w:sz w:val="19"/>
                <w:szCs w:val="19"/>
              </w:rPr>
            </w:pPr>
            <w:r w:rsidRPr="00C37F15">
              <w:rPr>
                <w:rFonts w:ascii="Times New Roman" w:hAnsi="Times New Roman" w:cs="Times New Roman"/>
                <w:color w:val="000000"/>
                <w:sz w:val="19"/>
                <w:szCs w:val="19"/>
              </w:rPr>
              <w:t>% de la suma total</w:t>
            </w:r>
          </w:p>
        </w:tc>
        <w:tc>
          <w:tcPr>
            <w:tcW w:w="1469" w:type="dxa"/>
            <w:tcBorders>
              <w:top w:val="nil"/>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100.0%</w:t>
            </w:r>
          </w:p>
        </w:tc>
        <w:tc>
          <w:tcPr>
            <w:tcW w:w="1469" w:type="dxa"/>
            <w:tcBorders>
              <w:top w:val="nil"/>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100.0%</w:t>
            </w:r>
          </w:p>
        </w:tc>
        <w:tc>
          <w:tcPr>
            <w:tcW w:w="3047" w:type="dxa"/>
            <w:tcBorders>
              <w:top w:val="nil"/>
              <w:left w:val="nil"/>
              <w:bottom w:val="single" w:sz="4" w:space="0" w:color="auto"/>
              <w:right w:val="nil"/>
            </w:tcBorders>
            <w:shd w:val="clear" w:color="auto" w:fill="FFFFFF"/>
          </w:tcPr>
          <w:p w:rsidR="00FD68C4" w:rsidRPr="00C37F15" w:rsidRDefault="00FD68C4" w:rsidP="00A955CB">
            <w:pPr>
              <w:autoSpaceDE w:val="0"/>
              <w:autoSpaceDN w:val="0"/>
              <w:adjustRightInd w:val="0"/>
              <w:spacing w:after="0" w:line="240" w:lineRule="auto"/>
              <w:ind w:left="20" w:right="60"/>
              <w:jc w:val="center"/>
              <w:rPr>
                <w:rFonts w:ascii="Times New Roman" w:hAnsi="Times New Roman" w:cs="Times New Roman"/>
                <w:color w:val="000000"/>
                <w:sz w:val="19"/>
                <w:szCs w:val="19"/>
              </w:rPr>
            </w:pPr>
            <w:r w:rsidRPr="00C37F15">
              <w:rPr>
                <w:rFonts w:ascii="Times New Roman" w:hAnsi="Times New Roman" w:cs="Times New Roman"/>
                <w:color w:val="000000"/>
                <w:sz w:val="19"/>
                <w:szCs w:val="19"/>
              </w:rPr>
              <w:t>100.0%</w:t>
            </w:r>
          </w:p>
        </w:tc>
      </w:tr>
    </w:tbl>
    <w:p w:rsidR="00943857" w:rsidRPr="00A955CB" w:rsidRDefault="00623909" w:rsidP="00A955CB">
      <w:pPr>
        <w:autoSpaceDE w:val="0"/>
        <w:autoSpaceDN w:val="0"/>
        <w:adjustRightInd w:val="0"/>
        <w:spacing w:after="0" w:line="240" w:lineRule="auto"/>
        <w:rPr>
          <w:rFonts w:ascii="Times New Roman" w:hAnsi="Times New Roman" w:cs="Times New Roman"/>
          <w:sz w:val="18"/>
          <w:szCs w:val="19"/>
        </w:rPr>
      </w:pPr>
      <w:r w:rsidRPr="00A955CB">
        <w:rPr>
          <w:rFonts w:ascii="Times New Roman" w:hAnsi="Times New Roman" w:cs="Times New Roman"/>
          <w:sz w:val="18"/>
          <w:szCs w:val="19"/>
        </w:rPr>
        <w:t>Fuente: Elaboración propia.</w:t>
      </w:r>
    </w:p>
    <w:p w:rsidR="00623909" w:rsidRPr="00C37F15" w:rsidRDefault="00623909" w:rsidP="00FD68C4">
      <w:pPr>
        <w:autoSpaceDE w:val="0"/>
        <w:autoSpaceDN w:val="0"/>
        <w:adjustRightInd w:val="0"/>
        <w:spacing w:after="0" w:line="400" w:lineRule="atLeast"/>
        <w:rPr>
          <w:rFonts w:ascii="Times New Roman" w:hAnsi="Times New Roman" w:cs="Times New Roman"/>
          <w:sz w:val="19"/>
          <w:szCs w:val="19"/>
        </w:rPr>
      </w:pPr>
    </w:p>
    <w:p w:rsidR="00B41976" w:rsidRPr="00C37F15" w:rsidRDefault="00B7168F" w:rsidP="005E68A9">
      <w:pPr>
        <w:autoSpaceDE w:val="0"/>
        <w:autoSpaceDN w:val="0"/>
        <w:adjustRightInd w:val="0"/>
        <w:spacing w:after="0" w:line="276" w:lineRule="auto"/>
        <w:ind w:firstLine="708"/>
        <w:jc w:val="both"/>
        <w:rPr>
          <w:rFonts w:ascii="Times New Roman" w:hAnsi="Times New Roman" w:cs="Times New Roman"/>
          <w:sz w:val="19"/>
          <w:szCs w:val="19"/>
        </w:rPr>
      </w:pPr>
      <w:r w:rsidRPr="00C37F15">
        <w:rPr>
          <w:rFonts w:ascii="Times New Roman" w:hAnsi="Times New Roman" w:cs="Times New Roman"/>
          <w:sz w:val="19"/>
          <w:szCs w:val="19"/>
        </w:rPr>
        <w:t>La tabla 3</w:t>
      </w:r>
      <w:r w:rsidR="00D46DF6" w:rsidRPr="00C37F15">
        <w:rPr>
          <w:rFonts w:ascii="Times New Roman" w:hAnsi="Times New Roman" w:cs="Times New Roman"/>
          <w:sz w:val="19"/>
          <w:szCs w:val="19"/>
        </w:rPr>
        <w:t xml:space="preserve"> </w:t>
      </w:r>
      <w:r w:rsidR="006D761F" w:rsidRPr="00C37F15">
        <w:rPr>
          <w:rFonts w:ascii="Times New Roman" w:hAnsi="Times New Roman" w:cs="Times New Roman"/>
          <w:sz w:val="19"/>
          <w:szCs w:val="19"/>
        </w:rPr>
        <w:t>muestra que la media más alta la</w:t>
      </w:r>
      <w:r w:rsidR="00FD68C4" w:rsidRPr="00C37F15">
        <w:rPr>
          <w:rFonts w:ascii="Times New Roman" w:hAnsi="Times New Roman" w:cs="Times New Roman"/>
          <w:sz w:val="19"/>
          <w:szCs w:val="19"/>
        </w:rPr>
        <w:t xml:space="preserve"> tienen los hombres y que el aprendizaje está relacionad</w:t>
      </w:r>
      <w:r w:rsidRPr="00C37F15">
        <w:rPr>
          <w:rFonts w:ascii="Times New Roman" w:hAnsi="Times New Roman" w:cs="Times New Roman"/>
          <w:sz w:val="19"/>
          <w:szCs w:val="19"/>
        </w:rPr>
        <w:t xml:space="preserve">o con el </w:t>
      </w:r>
      <w:r w:rsidR="00E25557" w:rsidRPr="00C37F15">
        <w:rPr>
          <w:rFonts w:ascii="Times New Roman" w:hAnsi="Times New Roman" w:cs="Times New Roman"/>
          <w:sz w:val="19"/>
          <w:szCs w:val="19"/>
        </w:rPr>
        <w:t>Aprendizaje en el Desarrollo P</w:t>
      </w:r>
      <w:r w:rsidRPr="00C37F15">
        <w:rPr>
          <w:rFonts w:ascii="Times New Roman" w:hAnsi="Times New Roman" w:cs="Times New Roman"/>
          <w:sz w:val="19"/>
          <w:szCs w:val="19"/>
        </w:rPr>
        <w:t>rofesional,</w:t>
      </w:r>
      <w:r w:rsidR="00C61487" w:rsidRPr="00C37F15">
        <w:rPr>
          <w:rFonts w:ascii="Times New Roman" w:hAnsi="Times New Roman" w:cs="Times New Roman"/>
          <w:sz w:val="19"/>
          <w:szCs w:val="19"/>
        </w:rPr>
        <w:t xml:space="preserve"> </w:t>
      </w:r>
      <w:r w:rsidR="00E52220" w:rsidRPr="00C37F15">
        <w:rPr>
          <w:rFonts w:ascii="Times New Roman" w:hAnsi="Times New Roman" w:cs="Times New Roman"/>
          <w:sz w:val="19"/>
          <w:szCs w:val="19"/>
        </w:rPr>
        <w:t>desarrollando la capacidad de análisis y evaluación de la realidad social y de los diferentes entornos de intervención socioeducativa, con objeto de vincularlos en el área laboral,</w:t>
      </w:r>
      <w:r w:rsidR="00C61487" w:rsidRPr="00C37F15">
        <w:rPr>
          <w:rFonts w:ascii="Times New Roman" w:hAnsi="Times New Roman" w:cs="Times New Roman"/>
          <w:sz w:val="19"/>
          <w:szCs w:val="19"/>
        </w:rPr>
        <w:t xml:space="preserve"> </w:t>
      </w:r>
      <w:r w:rsidR="006D761F" w:rsidRPr="00C37F15">
        <w:rPr>
          <w:rFonts w:ascii="Times New Roman" w:hAnsi="Times New Roman" w:cs="Times New Roman"/>
          <w:sz w:val="19"/>
          <w:szCs w:val="19"/>
        </w:rPr>
        <w:t>ya que con este tipo de aprendizaje, el alumno aprende</w:t>
      </w:r>
      <w:r w:rsidRPr="00C37F15">
        <w:rPr>
          <w:rFonts w:ascii="Times New Roman" w:hAnsi="Times New Roman" w:cs="Times New Roman"/>
          <w:sz w:val="19"/>
          <w:szCs w:val="19"/>
        </w:rPr>
        <w:t xml:space="preserve"> a  diseñar, desarrollar proyectos, siendo capaz de  vincular las relaciones educativas y las redes sociales, organiza y gestiona grupos utilizando técnicas adecuadas, adquiriendo conocimientos que le permitan elaborar y diseñar proyectos, contando con valores de respeto, tolerancia, honestidad, si</w:t>
      </w:r>
      <w:r w:rsidR="00943857" w:rsidRPr="00C37F15">
        <w:rPr>
          <w:rFonts w:ascii="Times New Roman" w:hAnsi="Times New Roman" w:cs="Times New Roman"/>
          <w:sz w:val="19"/>
          <w:szCs w:val="19"/>
        </w:rPr>
        <w:t>n</w:t>
      </w:r>
      <w:r w:rsidRPr="00C37F15">
        <w:rPr>
          <w:rFonts w:ascii="Times New Roman" w:hAnsi="Times New Roman" w:cs="Times New Roman"/>
          <w:sz w:val="19"/>
          <w:szCs w:val="19"/>
        </w:rPr>
        <w:t xml:space="preserve">ceridad, rectitud </w:t>
      </w:r>
      <w:r w:rsidR="00943857" w:rsidRPr="00C37F15">
        <w:rPr>
          <w:rFonts w:ascii="Times New Roman" w:hAnsi="Times New Roman" w:cs="Times New Roman"/>
          <w:sz w:val="19"/>
          <w:szCs w:val="19"/>
        </w:rPr>
        <w:t>y responsabilidad, desarrollando competencias genéricas.</w:t>
      </w:r>
    </w:p>
    <w:p w:rsidR="00FD68C4" w:rsidRPr="00C37F15" w:rsidRDefault="00FD68C4" w:rsidP="00DC2C0F">
      <w:pPr>
        <w:autoSpaceDE w:val="0"/>
        <w:autoSpaceDN w:val="0"/>
        <w:adjustRightInd w:val="0"/>
        <w:spacing w:after="0" w:line="240" w:lineRule="auto"/>
        <w:jc w:val="both"/>
        <w:rPr>
          <w:rFonts w:ascii="Times New Roman" w:hAnsi="Times New Roman" w:cs="Times New Roman"/>
          <w:sz w:val="19"/>
          <w:szCs w:val="19"/>
        </w:rPr>
      </w:pPr>
    </w:p>
    <w:p w:rsidR="00FD68C4" w:rsidRPr="004611FE" w:rsidRDefault="00504185" w:rsidP="00FD68C4">
      <w:pPr>
        <w:autoSpaceDE w:val="0"/>
        <w:autoSpaceDN w:val="0"/>
        <w:adjustRightInd w:val="0"/>
        <w:spacing w:after="0" w:line="240" w:lineRule="auto"/>
        <w:rPr>
          <w:rFonts w:ascii="Times New Roman" w:hAnsi="Times New Roman" w:cs="Times New Roman"/>
          <w:b/>
          <w:sz w:val="24"/>
          <w:szCs w:val="19"/>
        </w:rPr>
      </w:pPr>
      <w:r w:rsidRPr="004611FE">
        <w:rPr>
          <w:rFonts w:ascii="Times New Roman" w:hAnsi="Times New Roman" w:cs="Times New Roman"/>
          <w:b/>
          <w:sz w:val="24"/>
          <w:szCs w:val="19"/>
        </w:rPr>
        <w:t>Conclusiones</w:t>
      </w:r>
    </w:p>
    <w:p w:rsidR="005A32B2" w:rsidRPr="00C37F15" w:rsidRDefault="005A32B2" w:rsidP="005A32B2">
      <w:pPr>
        <w:autoSpaceDE w:val="0"/>
        <w:autoSpaceDN w:val="0"/>
        <w:adjustRightInd w:val="0"/>
        <w:spacing w:after="0" w:line="240" w:lineRule="auto"/>
        <w:rPr>
          <w:rFonts w:ascii="Times New Roman" w:hAnsi="Times New Roman" w:cs="Times New Roman"/>
          <w:b/>
          <w:sz w:val="19"/>
          <w:szCs w:val="19"/>
        </w:rPr>
      </w:pPr>
    </w:p>
    <w:p w:rsidR="00A63F01" w:rsidRPr="007861DC" w:rsidRDefault="0014700F" w:rsidP="00623909">
      <w:pPr>
        <w:spacing w:line="276" w:lineRule="auto"/>
        <w:jc w:val="both"/>
        <w:rPr>
          <w:rFonts w:ascii="Times New Roman" w:hAnsi="Times New Roman" w:cs="Times New Roman"/>
          <w:sz w:val="19"/>
          <w:szCs w:val="19"/>
        </w:rPr>
      </w:pPr>
      <w:r w:rsidRPr="007861DC">
        <w:rPr>
          <w:rFonts w:ascii="Times New Roman" w:hAnsi="Times New Roman" w:cs="Times New Roman"/>
          <w:sz w:val="19"/>
          <w:szCs w:val="19"/>
        </w:rPr>
        <w:t>Se concluye que para</w:t>
      </w:r>
      <w:r w:rsidR="006D761F" w:rsidRPr="007861DC">
        <w:rPr>
          <w:rFonts w:ascii="Times New Roman" w:hAnsi="Times New Roman" w:cs="Times New Roman"/>
          <w:sz w:val="19"/>
          <w:szCs w:val="19"/>
        </w:rPr>
        <w:t xml:space="preserve"> los prestadores del servicio social comunitario</w:t>
      </w:r>
      <w:r w:rsidR="00135A6D" w:rsidRPr="007861DC">
        <w:rPr>
          <w:rFonts w:ascii="Times New Roman" w:hAnsi="Times New Roman" w:cs="Times New Roman"/>
          <w:sz w:val="19"/>
          <w:szCs w:val="19"/>
        </w:rPr>
        <w:t xml:space="preserve"> de la DACEA</w:t>
      </w:r>
      <w:r w:rsidR="006D761F" w:rsidRPr="007861DC">
        <w:rPr>
          <w:rFonts w:ascii="Times New Roman" w:hAnsi="Times New Roman" w:cs="Times New Roman"/>
          <w:sz w:val="19"/>
          <w:szCs w:val="19"/>
        </w:rPr>
        <w:t>, la dimensión de aprendizaje con más impacto fue el Aprendizaje en el Desarrollo Profesional</w:t>
      </w:r>
      <w:r w:rsidRPr="007861DC">
        <w:rPr>
          <w:rFonts w:ascii="Times New Roman" w:hAnsi="Times New Roman" w:cs="Times New Roman"/>
          <w:sz w:val="19"/>
          <w:szCs w:val="19"/>
        </w:rPr>
        <w:t xml:space="preserve">, </w:t>
      </w:r>
      <w:r w:rsidR="00135A6D" w:rsidRPr="007861DC">
        <w:rPr>
          <w:rFonts w:ascii="Times New Roman" w:hAnsi="Times New Roman" w:cs="Times New Roman"/>
          <w:sz w:val="19"/>
          <w:szCs w:val="19"/>
        </w:rPr>
        <w:t>que de acuerdo con</w:t>
      </w:r>
      <w:r w:rsidR="00C61487" w:rsidRPr="007861DC">
        <w:rPr>
          <w:rFonts w:ascii="Times New Roman" w:hAnsi="Times New Roman" w:cs="Times New Roman"/>
          <w:sz w:val="19"/>
          <w:szCs w:val="19"/>
        </w:rPr>
        <w:t xml:space="preserve"> la UJAT </w:t>
      </w:r>
      <w:r w:rsidR="00D46DF6" w:rsidRPr="007861DC">
        <w:rPr>
          <w:rFonts w:ascii="Times New Roman" w:hAnsi="Times New Roman" w:cs="Times New Roman"/>
          <w:sz w:val="19"/>
          <w:szCs w:val="19"/>
        </w:rPr>
        <w:t>(</w:t>
      </w:r>
      <w:r w:rsidR="00723BFF" w:rsidRPr="007861DC">
        <w:rPr>
          <w:rFonts w:ascii="Times New Roman" w:hAnsi="Times New Roman" w:cs="Times New Roman"/>
          <w:sz w:val="19"/>
          <w:szCs w:val="19"/>
        </w:rPr>
        <w:t>2009</w:t>
      </w:r>
      <w:r w:rsidR="00D46DF6"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C61487" w:rsidRPr="007861DC">
        <w:rPr>
          <w:rFonts w:ascii="Times New Roman" w:hAnsi="Times New Roman" w:cs="Times New Roman"/>
          <w:sz w:val="19"/>
          <w:szCs w:val="19"/>
        </w:rPr>
        <w:t>en su modelo educativo</w:t>
      </w:r>
      <w:r w:rsidR="00723BFF" w:rsidRPr="007861DC">
        <w:rPr>
          <w:rFonts w:ascii="Times New Roman" w:hAnsi="Times New Roman" w:cs="Times New Roman"/>
          <w:sz w:val="19"/>
          <w:szCs w:val="19"/>
        </w:rPr>
        <w:t>,</w:t>
      </w:r>
      <w:r w:rsidR="00C61487" w:rsidRPr="007861DC">
        <w:rPr>
          <w:rFonts w:ascii="Times New Roman" w:hAnsi="Times New Roman" w:cs="Times New Roman"/>
          <w:sz w:val="19"/>
          <w:szCs w:val="19"/>
        </w:rPr>
        <w:t xml:space="preserve"> este tipo de aprendizaje es adquirido </w:t>
      </w:r>
      <w:r w:rsidR="00D46DF6" w:rsidRPr="007861DC">
        <w:rPr>
          <w:rFonts w:ascii="Times New Roman" w:hAnsi="Times New Roman" w:cs="Times New Roman"/>
          <w:sz w:val="19"/>
          <w:szCs w:val="19"/>
        </w:rPr>
        <w:t xml:space="preserve">a través  del </w:t>
      </w:r>
      <w:r w:rsidR="00C61487" w:rsidRPr="007861DC">
        <w:rPr>
          <w:rFonts w:ascii="Times New Roman" w:hAnsi="Times New Roman" w:cs="Times New Roman"/>
          <w:sz w:val="19"/>
          <w:szCs w:val="19"/>
        </w:rPr>
        <w:t>aprendizaje experiencial</w:t>
      </w:r>
      <w:r w:rsidR="00D46DF6" w:rsidRPr="007861DC">
        <w:rPr>
          <w:rFonts w:ascii="Times New Roman" w:hAnsi="Times New Roman" w:cs="Times New Roman"/>
          <w:sz w:val="19"/>
          <w:szCs w:val="19"/>
        </w:rPr>
        <w:t>, el cual</w:t>
      </w:r>
      <w:r w:rsidR="00C61487" w:rsidRPr="007861DC">
        <w:rPr>
          <w:rFonts w:ascii="Times New Roman" w:hAnsi="Times New Roman" w:cs="Times New Roman"/>
          <w:sz w:val="19"/>
          <w:szCs w:val="19"/>
        </w:rPr>
        <w:t xml:space="preserve"> influye en el estudiante de dos </w:t>
      </w:r>
      <w:r w:rsidR="00D46DF6" w:rsidRPr="007861DC">
        <w:rPr>
          <w:rFonts w:ascii="Times New Roman" w:hAnsi="Times New Roman" w:cs="Times New Roman"/>
          <w:sz w:val="19"/>
          <w:szCs w:val="19"/>
        </w:rPr>
        <w:t>formas</w:t>
      </w:r>
      <w:r w:rsidR="00C61487" w:rsidRPr="007861DC">
        <w:rPr>
          <w:rFonts w:ascii="Times New Roman" w:hAnsi="Times New Roman" w:cs="Times New Roman"/>
          <w:sz w:val="19"/>
          <w:szCs w:val="19"/>
        </w:rPr>
        <w:t>: en la mej</w:t>
      </w:r>
      <w:r w:rsidR="00D46DF6" w:rsidRPr="007861DC">
        <w:rPr>
          <w:rFonts w:ascii="Times New Roman" w:hAnsi="Times New Roman" w:cs="Times New Roman"/>
          <w:sz w:val="19"/>
          <w:szCs w:val="19"/>
        </w:rPr>
        <w:t>ora de su estructura cognitiva,</w:t>
      </w:r>
      <w:r w:rsidR="00C61487" w:rsidRPr="007861DC">
        <w:rPr>
          <w:rFonts w:ascii="Times New Roman" w:hAnsi="Times New Roman" w:cs="Times New Roman"/>
          <w:sz w:val="19"/>
          <w:szCs w:val="19"/>
        </w:rPr>
        <w:t xml:space="preserve"> modifica</w:t>
      </w:r>
      <w:r w:rsidR="00D46DF6" w:rsidRPr="007861DC">
        <w:rPr>
          <w:rFonts w:ascii="Times New Roman" w:hAnsi="Times New Roman" w:cs="Times New Roman"/>
          <w:sz w:val="19"/>
          <w:szCs w:val="19"/>
        </w:rPr>
        <w:t>ndo</w:t>
      </w:r>
      <w:r w:rsidR="00C61487" w:rsidRPr="007861DC">
        <w:rPr>
          <w:rFonts w:ascii="Times New Roman" w:hAnsi="Times New Roman" w:cs="Times New Roman"/>
          <w:sz w:val="19"/>
          <w:szCs w:val="19"/>
        </w:rPr>
        <w:t xml:space="preserve"> actitudes, valores, percepciones y patrones de conducta, </w:t>
      </w:r>
      <w:r w:rsidR="00D46DF6" w:rsidRPr="007861DC">
        <w:rPr>
          <w:rFonts w:ascii="Times New Roman" w:hAnsi="Times New Roman" w:cs="Times New Roman"/>
          <w:sz w:val="19"/>
          <w:szCs w:val="19"/>
        </w:rPr>
        <w:t>los cuales</w:t>
      </w:r>
      <w:r w:rsidR="00C61487" w:rsidRPr="007861DC">
        <w:rPr>
          <w:rFonts w:ascii="Times New Roman" w:hAnsi="Times New Roman" w:cs="Times New Roman"/>
          <w:sz w:val="19"/>
          <w:szCs w:val="19"/>
        </w:rPr>
        <w:t xml:space="preserve"> están correlacionados, y </w:t>
      </w:r>
      <w:r w:rsidR="00D46DF6" w:rsidRPr="007861DC">
        <w:rPr>
          <w:rFonts w:ascii="Times New Roman" w:hAnsi="Times New Roman" w:cs="Times New Roman"/>
          <w:sz w:val="19"/>
          <w:szCs w:val="19"/>
        </w:rPr>
        <w:t xml:space="preserve">segundo, </w:t>
      </w:r>
      <w:r w:rsidR="00723BFF" w:rsidRPr="007861DC">
        <w:rPr>
          <w:rFonts w:ascii="Times New Roman" w:hAnsi="Times New Roman" w:cs="Times New Roman"/>
          <w:sz w:val="19"/>
          <w:szCs w:val="19"/>
        </w:rPr>
        <w:t>desde una perspectiva social</w:t>
      </w:r>
      <w:r w:rsidR="00D46DF6"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se fortalece una formación que promueve act</w:t>
      </w:r>
      <w:r w:rsidR="00D46DF6" w:rsidRPr="007861DC">
        <w:rPr>
          <w:rFonts w:ascii="Times New Roman" w:hAnsi="Times New Roman" w:cs="Times New Roman"/>
          <w:sz w:val="19"/>
          <w:szCs w:val="19"/>
        </w:rPr>
        <w:t>itudes democráticas que facilita</w:t>
      </w:r>
      <w:r w:rsidR="00723BFF" w:rsidRPr="007861DC">
        <w:rPr>
          <w:rFonts w:ascii="Times New Roman" w:hAnsi="Times New Roman" w:cs="Times New Roman"/>
          <w:sz w:val="19"/>
          <w:szCs w:val="19"/>
        </w:rPr>
        <w:t xml:space="preserve">n la convivencia en una sociedad plural, el respeto a las </w:t>
      </w:r>
      <w:r w:rsidR="00723BFF" w:rsidRPr="007861DC">
        <w:rPr>
          <w:rFonts w:ascii="Times New Roman" w:hAnsi="Times New Roman" w:cs="Times New Roman"/>
          <w:sz w:val="19"/>
          <w:szCs w:val="19"/>
        </w:rPr>
        <w:lastRenderedPageBreak/>
        <w:t>ideologías y la aceptación de la diversidad,</w:t>
      </w:r>
      <w:r w:rsidR="00C61487" w:rsidRPr="007861DC">
        <w:rPr>
          <w:rFonts w:ascii="Times New Roman" w:hAnsi="Times New Roman" w:cs="Times New Roman"/>
          <w:sz w:val="19"/>
          <w:szCs w:val="19"/>
        </w:rPr>
        <w:t xml:space="preserve"> </w:t>
      </w:r>
      <w:r w:rsidRPr="007861DC">
        <w:rPr>
          <w:rFonts w:ascii="Times New Roman" w:hAnsi="Times New Roman" w:cs="Times New Roman"/>
          <w:sz w:val="19"/>
          <w:szCs w:val="19"/>
        </w:rPr>
        <w:t>mientras que las otras dimensiones como son el Aprendizaje en el Desarrollo Social y Aprendizaje en cuanto a Comunicación y Conocimiento aunque están relacionada</w:t>
      </w:r>
      <w:r w:rsidR="00E25557" w:rsidRPr="007861DC">
        <w:rPr>
          <w:rFonts w:ascii="Times New Roman" w:hAnsi="Times New Roman" w:cs="Times New Roman"/>
          <w:sz w:val="19"/>
          <w:szCs w:val="19"/>
        </w:rPr>
        <w:t>s</w:t>
      </w:r>
      <w:r w:rsidR="00F443FE" w:rsidRPr="007861DC">
        <w:rPr>
          <w:rFonts w:ascii="Times New Roman" w:hAnsi="Times New Roman" w:cs="Times New Roman"/>
          <w:sz w:val="19"/>
          <w:szCs w:val="19"/>
        </w:rPr>
        <w:t xml:space="preserve"> directamente al</w:t>
      </w:r>
      <w:r w:rsidR="00A63F01" w:rsidRPr="007861DC">
        <w:rPr>
          <w:rFonts w:ascii="Times New Roman" w:hAnsi="Times New Roman" w:cs="Times New Roman"/>
          <w:sz w:val="19"/>
          <w:szCs w:val="19"/>
        </w:rPr>
        <w:t xml:space="preserve"> aprendizaje en el servicio social comunitario</w:t>
      </w:r>
      <w:r w:rsidR="00F443FE" w:rsidRPr="007861DC">
        <w:rPr>
          <w:rFonts w:ascii="Times New Roman" w:hAnsi="Times New Roman" w:cs="Times New Roman"/>
          <w:sz w:val="19"/>
          <w:szCs w:val="19"/>
        </w:rPr>
        <w:t>,</w:t>
      </w:r>
      <w:r w:rsidR="00723BFF" w:rsidRPr="007861DC">
        <w:rPr>
          <w:rFonts w:ascii="Times New Roman" w:hAnsi="Times New Roman" w:cs="Times New Roman"/>
          <w:sz w:val="19"/>
          <w:szCs w:val="19"/>
        </w:rPr>
        <w:t xml:space="preserve"> </w:t>
      </w:r>
      <w:r w:rsidR="00A63F01" w:rsidRPr="007861DC">
        <w:rPr>
          <w:rFonts w:ascii="Times New Roman" w:hAnsi="Times New Roman" w:cs="Times New Roman"/>
          <w:sz w:val="19"/>
          <w:szCs w:val="19"/>
        </w:rPr>
        <w:t xml:space="preserve">el estudiante </w:t>
      </w:r>
      <w:r w:rsidRPr="007861DC">
        <w:rPr>
          <w:rFonts w:ascii="Times New Roman" w:hAnsi="Times New Roman" w:cs="Times New Roman"/>
          <w:sz w:val="19"/>
          <w:szCs w:val="19"/>
        </w:rPr>
        <w:t xml:space="preserve">simplemente las siente </w:t>
      </w:r>
      <w:r w:rsidR="00F443FE" w:rsidRPr="007861DC">
        <w:rPr>
          <w:rFonts w:ascii="Times New Roman" w:hAnsi="Times New Roman" w:cs="Times New Roman"/>
          <w:sz w:val="19"/>
          <w:szCs w:val="19"/>
        </w:rPr>
        <w:t>como</w:t>
      </w:r>
      <w:r w:rsidR="00A63F01" w:rsidRPr="007861DC">
        <w:rPr>
          <w:rFonts w:ascii="Times New Roman" w:hAnsi="Times New Roman" w:cs="Times New Roman"/>
          <w:sz w:val="19"/>
          <w:szCs w:val="19"/>
        </w:rPr>
        <w:t xml:space="preserve"> un complemento de sus habilidades y destrezas</w:t>
      </w:r>
      <w:r w:rsidR="00F443FE" w:rsidRPr="007861DC">
        <w:rPr>
          <w:rFonts w:ascii="Times New Roman" w:hAnsi="Times New Roman" w:cs="Times New Roman"/>
          <w:sz w:val="19"/>
          <w:szCs w:val="19"/>
        </w:rPr>
        <w:t xml:space="preserve"> y</w:t>
      </w:r>
      <w:r w:rsidR="00A63F01" w:rsidRPr="007861DC">
        <w:rPr>
          <w:rFonts w:ascii="Times New Roman" w:hAnsi="Times New Roman" w:cs="Times New Roman"/>
          <w:sz w:val="19"/>
          <w:szCs w:val="19"/>
        </w:rPr>
        <w:t xml:space="preserve"> c</w:t>
      </w:r>
      <w:r w:rsidR="00F443FE" w:rsidRPr="007861DC">
        <w:rPr>
          <w:rFonts w:ascii="Times New Roman" w:hAnsi="Times New Roman" w:cs="Times New Roman"/>
          <w:sz w:val="19"/>
          <w:szCs w:val="19"/>
        </w:rPr>
        <w:t>ompetencias</w:t>
      </w:r>
      <w:r w:rsidR="00A63F01" w:rsidRPr="007861DC">
        <w:rPr>
          <w:rFonts w:ascii="Times New Roman" w:hAnsi="Times New Roman" w:cs="Times New Roman"/>
          <w:sz w:val="19"/>
          <w:szCs w:val="19"/>
        </w:rPr>
        <w:t xml:space="preserve">. </w:t>
      </w:r>
    </w:p>
    <w:p w:rsidR="00290598" w:rsidRPr="007861DC" w:rsidRDefault="00F443FE" w:rsidP="00F443FE">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E</w:t>
      </w:r>
      <w:r w:rsidR="00A63F01" w:rsidRPr="007861DC">
        <w:rPr>
          <w:rFonts w:ascii="Times New Roman" w:hAnsi="Times New Roman" w:cs="Times New Roman"/>
          <w:sz w:val="19"/>
          <w:szCs w:val="19"/>
        </w:rPr>
        <w:t xml:space="preserve">l único valor que </w:t>
      </w:r>
      <w:r w:rsidR="00D46DF6" w:rsidRPr="007861DC">
        <w:rPr>
          <w:rFonts w:ascii="Times New Roman" w:hAnsi="Times New Roman" w:cs="Times New Roman"/>
          <w:sz w:val="19"/>
          <w:szCs w:val="19"/>
        </w:rPr>
        <w:t>perdura</w:t>
      </w:r>
      <w:r w:rsidR="00A63F01" w:rsidRPr="007861DC">
        <w:rPr>
          <w:rFonts w:ascii="Times New Roman" w:hAnsi="Times New Roman" w:cs="Times New Roman"/>
          <w:sz w:val="19"/>
          <w:szCs w:val="19"/>
        </w:rPr>
        <w:t xml:space="preserve"> </w:t>
      </w:r>
      <w:r w:rsidR="0037474E" w:rsidRPr="007861DC">
        <w:rPr>
          <w:rFonts w:ascii="Times New Roman" w:hAnsi="Times New Roman" w:cs="Times New Roman"/>
          <w:sz w:val="19"/>
          <w:szCs w:val="19"/>
        </w:rPr>
        <w:t xml:space="preserve">en los estudiantes </w:t>
      </w:r>
      <w:r w:rsidR="00A63F01" w:rsidRPr="007861DC">
        <w:rPr>
          <w:rFonts w:ascii="Times New Roman" w:hAnsi="Times New Roman" w:cs="Times New Roman"/>
          <w:sz w:val="19"/>
          <w:szCs w:val="19"/>
        </w:rPr>
        <w:t>es el de la experiencia personal</w:t>
      </w:r>
      <w:r w:rsidRPr="007861DC">
        <w:rPr>
          <w:rFonts w:ascii="Times New Roman" w:hAnsi="Times New Roman" w:cs="Times New Roman"/>
          <w:sz w:val="19"/>
          <w:szCs w:val="19"/>
        </w:rPr>
        <w:t>,</w:t>
      </w:r>
      <w:r w:rsidR="00A63F01" w:rsidRPr="007861DC">
        <w:rPr>
          <w:rFonts w:ascii="Times New Roman" w:hAnsi="Times New Roman" w:cs="Times New Roman"/>
          <w:sz w:val="19"/>
          <w:szCs w:val="19"/>
        </w:rPr>
        <w:t xml:space="preserve"> que se adquiere al </w:t>
      </w:r>
      <w:r w:rsidRPr="007861DC">
        <w:rPr>
          <w:rFonts w:ascii="Times New Roman" w:hAnsi="Times New Roman" w:cs="Times New Roman"/>
          <w:sz w:val="19"/>
          <w:szCs w:val="19"/>
        </w:rPr>
        <w:t>incluir</w:t>
      </w:r>
      <w:r w:rsidR="0014700F" w:rsidRPr="007861DC">
        <w:rPr>
          <w:rFonts w:ascii="Times New Roman" w:hAnsi="Times New Roman" w:cs="Times New Roman"/>
          <w:sz w:val="19"/>
          <w:szCs w:val="19"/>
        </w:rPr>
        <w:t>los</w:t>
      </w:r>
      <w:r w:rsidRPr="007861DC">
        <w:rPr>
          <w:rFonts w:ascii="Times New Roman" w:hAnsi="Times New Roman" w:cs="Times New Roman"/>
          <w:sz w:val="19"/>
          <w:szCs w:val="19"/>
        </w:rPr>
        <w:t xml:space="preserve">  en las</w:t>
      </w:r>
      <w:r w:rsidR="0037474E" w:rsidRPr="007861DC">
        <w:rPr>
          <w:rFonts w:ascii="Times New Roman" w:hAnsi="Times New Roman" w:cs="Times New Roman"/>
          <w:sz w:val="19"/>
          <w:szCs w:val="19"/>
        </w:rPr>
        <w:t xml:space="preserve"> problemáticas sociales</w:t>
      </w:r>
      <w:r w:rsidRPr="007861DC">
        <w:rPr>
          <w:rFonts w:ascii="Times New Roman" w:hAnsi="Times New Roman" w:cs="Times New Roman"/>
          <w:sz w:val="19"/>
          <w:szCs w:val="19"/>
        </w:rPr>
        <w:t xml:space="preserve">, </w:t>
      </w:r>
      <w:r w:rsidR="0037474E" w:rsidRPr="007861DC">
        <w:rPr>
          <w:rFonts w:ascii="Times New Roman" w:hAnsi="Times New Roman" w:cs="Times New Roman"/>
          <w:sz w:val="19"/>
          <w:szCs w:val="19"/>
        </w:rPr>
        <w:t xml:space="preserve"> busca</w:t>
      </w:r>
      <w:r w:rsidRPr="007861DC">
        <w:rPr>
          <w:rFonts w:ascii="Times New Roman" w:hAnsi="Times New Roman" w:cs="Times New Roman"/>
          <w:sz w:val="19"/>
          <w:szCs w:val="19"/>
        </w:rPr>
        <w:t>ndo</w:t>
      </w:r>
      <w:r w:rsidR="0037474E" w:rsidRPr="007861DC">
        <w:rPr>
          <w:rFonts w:ascii="Times New Roman" w:hAnsi="Times New Roman" w:cs="Times New Roman"/>
          <w:sz w:val="19"/>
          <w:szCs w:val="19"/>
        </w:rPr>
        <w:t xml:space="preserve"> posibles soluciones</w:t>
      </w:r>
      <w:r w:rsidRPr="007861DC">
        <w:rPr>
          <w:rFonts w:ascii="Times New Roman" w:hAnsi="Times New Roman" w:cs="Times New Roman"/>
          <w:sz w:val="19"/>
          <w:szCs w:val="19"/>
        </w:rPr>
        <w:t xml:space="preserve"> a las mismas</w:t>
      </w:r>
      <w:r w:rsidR="0037474E" w:rsidRPr="007861DC">
        <w:rPr>
          <w:rFonts w:ascii="Times New Roman" w:hAnsi="Times New Roman" w:cs="Times New Roman"/>
          <w:sz w:val="19"/>
          <w:szCs w:val="19"/>
        </w:rPr>
        <w:t xml:space="preserve">, esto con </w:t>
      </w:r>
      <w:r w:rsidRPr="007861DC">
        <w:rPr>
          <w:rFonts w:ascii="Times New Roman" w:hAnsi="Times New Roman" w:cs="Times New Roman"/>
          <w:sz w:val="19"/>
          <w:szCs w:val="19"/>
        </w:rPr>
        <w:t>la finalidad</w:t>
      </w:r>
      <w:r w:rsidR="0037474E" w:rsidRPr="007861DC">
        <w:rPr>
          <w:rFonts w:ascii="Times New Roman" w:hAnsi="Times New Roman" w:cs="Times New Roman"/>
          <w:sz w:val="19"/>
          <w:szCs w:val="19"/>
        </w:rPr>
        <w:t xml:space="preserve"> de aportar una parte de lo que l</w:t>
      </w:r>
      <w:r w:rsidRPr="007861DC">
        <w:rPr>
          <w:rFonts w:ascii="Times New Roman" w:hAnsi="Times New Roman" w:cs="Times New Roman"/>
          <w:sz w:val="19"/>
          <w:szCs w:val="19"/>
        </w:rPr>
        <w:t>a sociedad les otorga y</w:t>
      </w:r>
      <w:r w:rsidR="0014700F" w:rsidRPr="007861DC">
        <w:rPr>
          <w:rFonts w:ascii="Times New Roman" w:hAnsi="Times New Roman" w:cs="Times New Roman"/>
          <w:sz w:val="19"/>
          <w:szCs w:val="19"/>
        </w:rPr>
        <w:t xml:space="preserve"> así</w:t>
      </w:r>
      <w:r w:rsidRPr="007861DC">
        <w:rPr>
          <w:rFonts w:ascii="Times New Roman" w:hAnsi="Times New Roman" w:cs="Times New Roman"/>
          <w:sz w:val="19"/>
          <w:szCs w:val="19"/>
        </w:rPr>
        <w:t xml:space="preserve"> fomentar </w:t>
      </w:r>
      <w:r w:rsidR="0037474E" w:rsidRPr="007861DC">
        <w:rPr>
          <w:rFonts w:ascii="Times New Roman" w:hAnsi="Times New Roman" w:cs="Times New Roman"/>
          <w:sz w:val="19"/>
          <w:szCs w:val="19"/>
        </w:rPr>
        <w:t>el desarrollo social</w:t>
      </w:r>
      <w:r w:rsidR="00A63F01" w:rsidRPr="007861DC">
        <w:rPr>
          <w:rFonts w:ascii="Times New Roman" w:hAnsi="Times New Roman" w:cs="Times New Roman"/>
          <w:sz w:val="19"/>
          <w:szCs w:val="19"/>
        </w:rPr>
        <w:t xml:space="preserve">. </w:t>
      </w:r>
    </w:p>
    <w:p w:rsidR="00217E0A" w:rsidRPr="007861DC" w:rsidRDefault="00217E0A" w:rsidP="00B04D57">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En cuanto a los alumnos, se obtuvo una mayor participación por parte de los</w:t>
      </w:r>
      <w:r w:rsidR="00F443FE" w:rsidRPr="007861DC">
        <w:rPr>
          <w:rFonts w:ascii="Times New Roman" w:hAnsi="Times New Roman" w:cs="Times New Roman"/>
          <w:sz w:val="19"/>
          <w:szCs w:val="19"/>
        </w:rPr>
        <w:t xml:space="preserve"> estudiantes de la Licenciatura </w:t>
      </w:r>
      <w:r w:rsidR="00E25557" w:rsidRPr="007861DC">
        <w:rPr>
          <w:rFonts w:ascii="Times New Roman" w:hAnsi="Times New Roman" w:cs="Times New Roman"/>
          <w:sz w:val="19"/>
          <w:szCs w:val="19"/>
        </w:rPr>
        <w:t xml:space="preserve">en </w:t>
      </w:r>
      <w:r w:rsidR="00F443FE" w:rsidRPr="007861DC">
        <w:rPr>
          <w:rFonts w:ascii="Times New Roman" w:hAnsi="Times New Roman" w:cs="Times New Roman"/>
          <w:sz w:val="19"/>
          <w:szCs w:val="19"/>
        </w:rPr>
        <w:t>E</w:t>
      </w:r>
      <w:r w:rsidR="0037474E" w:rsidRPr="007861DC">
        <w:rPr>
          <w:rFonts w:ascii="Times New Roman" w:hAnsi="Times New Roman" w:cs="Times New Roman"/>
          <w:sz w:val="19"/>
          <w:szCs w:val="19"/>
        </w:rPr>
        <w:t xml:space="preserve">conomía </w:t>
      </w:r>
      <w:r w:rsidRPr="007861DC">
        <w:rPr>
          <w:rFonts w:ascii="Times New Roman" w:hAnsi="Times New Roman" w:cs="Times New Roman"/>
          <w:sz w:val="19"/>
          <w:szCs w:val="19"/>
        </w:rPr>
        <w:t xml:space="preserve"> en este programa, se puede afirmar que esto puede ser consecuencia de su preparación académica ya que  uno de los objetivos de dicha carrera es el conocimiento de </w:t>
      </w:r>
      <w:r w:rsidR="0037474E" w:rsidRPr="007861DC">
        <w:rPr>
          <w:rFonts w:ascii="Times New Roman" w:hAnsi="Times New Roman" w:cs="Times New Roman"/>
          <w:sz w:val="19"/>
          <w:szCs w:val="19"/>
        </w:rPr>
        <w:t>l</w:t>
      </w:r>
      <w:r w:rsidRPr="007861DC">
        <w:rPr>
          <w:rFonts w:ascii="Times New Roman" w:hAnsi="Times New Roman" w:cs="Times New Roman"/>
          <w:sz w:val="19"/>
          <w:szCs w:val="19"/>
        </w:rPr>
        <w:t xml:space="preserve">os aspectos socio-económicos, debido a que </w:t>
      </w:r>
      <w:r w:rsidR="00F443FE" w:rsidRPr="007861DC">
        <w:rPr>
          <w:rFonts w:ascii="Times New Roman" w:hAnsi="Times New Roman" w:cs="Times New Roman"/>
          <w:sz w:val="19"/>
          <w:szCs w:val="19"/>
        </w:rPr>
        <w:t>poseen</w:t>
      </w:r>
      <w:r w:rsidR="00C478C6" w:rsidRPr="007861DC">
        <w:rPr>
          <w:rFonts w:ascii="Times New Roman" w:hAnsi="Times New Roman" w:cs="Times New Roman"/>
          <w:sz w:val="19"/>
          <w:szCs w:val="19"/>
        </w:rPr>
        <w:t xml:space="preserve"> conocimiento</w:t>
      </w:r>
      <w:r w:rsidR="00F443FE" w:rsidRPr="007861DC">
        <w:rPr>
          <w:rFonts w:ascii="Times New Roman" w:hAnsi="Times New Roman" w:cs="Times New Roman"/>
          <w:sz w:val="19"/>
          <w:szCs w:val="19"/>
        </w:rPr>
        <w:t>s</w:t>
      </w:r>
      <w:r w:rsidR="00C478C6" w:rsidRPr="007861DC">
        <w:rPr>
          <w:rFonts w:ascii="Times New Roman" w:hAnsi="Times New Roman" w:cs="Times New Roman"/>
          <w:sz w:val="19"/>
          <w:szCs w:val="19"/>
        </w:rPr>
        <w:t xml:space="preserve"> más analítico</w:t>
      </w:r>
      <w:r w:rsidR="00F443FE" w:rsidRPr="007861DC">
        <w:rPr>
          <w:rFonts w:ascii="Times New Roman" w:hAnsi="Times New Roman" w:cs="Times New Roman"/>
          <w:sz w:val="19"/>
          <w:szCs w:val="19"/>
        </w:rPr>
        <w:t xml:space="preserve">s  de la problemática social, </w:t>
      </w:r>
      <w:r w:rsidR="00C478C6" w:rsidRPr="007861DC">
        <w:rPr>
          <w:rFonts w:ascii="Times New Roman" w:hAnsi="Times New Roman" w:cs="Times New Roman"/>
          <w:sz w:val="19"/>
          <w:szCs w:val="19"/>
        </w:rPr>
        <w:t>además de que suelen complementarse con facilidad en trabajos de grupo o equipo</w:t>
      </w:r>
      <w:r w:rsidR="007560BF" w:rsidRPr="007861DC">
        <w:rPr>
          <w:rFonts w:ascii="Times New Roman" w:hAnsi="Times New Roman" w:cs="Times New Roman"/>
          <w:sz w:val="19"/>
          <w:szCs w:val="19"/>
        </w:rPr>
        <w:t>.</w:t>
      </w:r>
    </w:p>
    <w:p w:rsidR="00B56D24" w:rsidRPr="00C37F15" w:rsidRDefault="00217E0A" w:rsidP="00EB0FBE">
      <w:pPr>
        <w:spacing w:line="276" w:lineRule="auto"/>
        <w:ind w:firstLine="708"/>
        <w:jc w:val="both"/>
        <w:rPr>
          <w:rFonts w:ascii="Times New Roman" w:hAnsi="Times New Roman" w:cs="Times New Roman"/>
          <w:sz w:val="19"/>
          <w:szCs w:val="19"/>
        </w:rPr>
      </w:pPr>
      <w:r w:rsidRPr="007861DC">
        <w:rPr>
          <w:rFonts w:ascii="Times New Roman" w:hAnsi="Times New Roman" w:cs="Times New Roman"/>
          <w:sz w:val="19"/>
          <w:szCs w:val="19"/>
        </w:rPr>
        <w:t>La</w:t>
      </w:r>
      <w:r w:rsidR="00B04D57" w:rsidRPr="007861DC">
        <w:rPr>
          <w:rFonts w:ascii="Times New Roman" w:hAnsi="Times New Roman" w:cs="Times New Roman"/>
          <w:sz w:val="19"/>
          <w:szCs w:val="19"/>
        </w:rPr>
        <w:t xml:space="preserve"> Universidad Nacional Autónoma de México [UNAM] (2009),</w:t>
      </w:r>
      <w:r w:rsidRPr="007861DC">
        <w:rPr>
          <w:rFonts w:ascii="Times New Roman" w:hAnsi="Times New Roman" w:cs="Times New Roman"/>
          <w:sz w:val="19"/>
          <w:szCs w:val="19"/>
        </w:rPr>
        <w:t xml:space="preserve">menciona que el perfil del estudiante de economía, </w:t>
      </w:r>
      <w:r w:rsidR="003669FA" w:rsidRPr="007861DC">
        <w:rPr>
          <w:rFonts w:ascii="Times New Roman" w:eastAsia="Times New Roman" w:hAnsi="Times New Roman" w:cs="Times New Roman"/>
          <w:sz w:val="19"/>
          <w:szCs w:val="19"/>
          <w:lang w:eastAsia="es-MX"/>
        </w:rPr>
        <w:t xml:space="preserve">busca preservar su tradición humanista, capacidad crítica y de análisis, propia de una formación científica y con alta vocación en el desarrollo social, </w:t>
      </w:r>
      <w:r w:rsidR="00CA54AF" w:rsidRPr="007861DC">
        <w:rPr>
          <w:rFonts w:ascii="Times New Roman" w:eastAsia="Times New Roman" w:hAnsi="Times New Roman" w:cs="Times New Roman"/>
          <w:sz w:val="19"/>
          <w:szCs w:val="19"/>
          <w:lang w:eastAsia="es-MX"/>
        </w:rPr>
        <w:t>cumpliendo</w:t>
      </w:r>
      <w:r w:rsidR="00B04D57" w:rsidRPr="007861DC">
        <w:rPr>
          <w:rFonts w:ascii="Times New Roman" w:eastAsia="Times New Roman" w:hAnsi="Times New Roman" w:cs="Times New Roman"/>
          <w:sz w:val="19"/>
          <w:szCs w:val="19"/>
          <w:lang w:eastAsia="es-MX"/>
        </w:rPr>
        <w:t xml:space="preserve"> con</w:t>
      </w:r>
      <w:r w:rsidR="003669FA" w:rsidRPr="007861DC">
        <w:rPr>
          <w:rFonts w:ascii="Times New Roman" w:eastAsia="Times New Roman" w:hAnsi="Times New Roman" w:cs="Times New Roman"/>
          <w:sz w:val="19"/>
          <w:szCs w:val="19"/>
          <w:lang w:eastAsia="es-MX"/>
        </w:rPr>
        <w:t xml:space="preserve"> la capacidad de comprender la realidad económica de la sociedad, enmar</w:t>
      </w:r>
      <w:r w:rsidR="00B04D57" w:rsidRPr="007861DC">
        <w:rPr>
          <w:rFonts w:ascii="Times New Roman" w:eastAsia="Times New Roman" w:hAnsi="Times New Roman" w:cs="Times New Roman"/>
          <w:sz w:val="19"/>
          <w:szCs w:val="19"/>
          <w:lang w:eastAsia="es-MX"/>
        </w:rPr>
        <w:t xml:space="preserve">cada por diversos cambios socio </w:t>
      </w:r>
      <w:r w:rsidR="003669FA" w:rsidRPr="007861DC">
        <w:rPr>
          <w:rFonts w:ascii="Times New Roman" w:eastAsia="Times New Roman" w:hAnsi="Times New Roman" w:cs="Times New Roman"/>
          <w:sz w:val="19"/>
          <w:szCs w:val="19"/>
          <w:lang w:eastAsia="es-MX"/>
        </w:rPr>
        <w:t>económicos, a fin de poder formular alternativas de solución a las problemáticas que se enfrentan en el plano macro y micro económico, así como en su interesante evolución histórica</w:t>
      </w:r>
      <w:r w:rsidR="00B04D57" w:rsidRPr="007861DC">
        <w:rPr>
          <w:rFonts w:ascii="Times New Roman" w:eastAsia="Times New Roman" w:hAnsi="Times New Roman" w:cs="Times New Roman"/>
          <w:sz w:val="19"/>
          <w:szCs w:val="19"/>
          <w:lang w:eastAsia="es-MX"/>
        </w:rPr>
        <w:t xml:space="preserve">, esto </w:t>
      </w:r>
      <w:r w:rsidR="003669FA" w:rsidRPr="007861DC">
        <w:rPr>
          <w:rFonts w:ascii="Times New Roman" w:eastAsia="Times New Roman" w:hAnsi="Times New Roman" w:cs="Times New Roman"/>
          <w:sz w:val="19"/>
          <w:szCs w:val="19"/>
          <w:lang w:eastAsia="es-MX"/>
        </w:rPr>
        <w:t xml:space="preserve">implica una gran responsabilidad social puesto que se debe tomar conciencia </w:t>
      </w:r>
      <w:r w:rsidR="00CA54AF" w:rsidRPr="007861DC">
        <w:rPr>
          <w:rFonts w:ascii="Times New Roman" w:eastAsia="Times New Roman" w:hAnsi="Times New Roman" w:cs="Times New Roman"/>
          <w:sz w:val="19"/>
          <w:szCs w:val="19"/>
          <w:lang w:eastAsia="es-MX"/>
        </w:rPr>
        <w:t>en</w:t>
      </w:r>
      <w:r w:rsidR="003669FA" w:rsidRPr="007861DC">
        <w:rPr>
          <w:rFonts w:ascii="Times New Roman" w:eastAsia="Times New Roman" w:hAnsi="Times New Roman" w:cs="Times New Roman"/>
          <w:sz w:val="19"/>
          <w:szCs w:val="19"/>
          <w:lang w:eastAsia="es-MX"/>
        </w:rPr>
        <w:t xml:space="preserve"> el ejercicio profesional</w:t>
      </w:r>
      <w:r w:rsidR="00B04D57" w:rsidRPr="007861DC">
        <w:rPr>
          <w:rFonts w:ascii="Times New Roman" w:eastAsia="Times New Roman" w:hAnsi="Times New Roman" w:cs="Times New Roman"/>
          <w:sz w:val="19"/>
          <w:szCs w:val="19"/>
          <w:lang w:eastAsia="es-MX"/>
        </w:rPr>
        <w:t xml:space="preserve">, el cual, </w:t>
      </w:r>
      <w:r w:rsidR="003669FA" w:rsidRPr="007861DC">
        <w:rPr>
          <w:rFonts w:ascii="Times New Roman" w:eastAsia="Times New Roman" w:hAnsi="Times New Roman" w:cs="Times New Roman"/>
          <w:sz w:val="19"/>
          <w:szCs w:val="19"/>
          <w:lang w:eastAsia="es-MX"/>
        </w:rPr>
        <w:t xml:space="preserve"> no puede ser contemplado fuera de la realidad en la cual se encuentra.</w:t>
      </w:r>
      <w:r w:rsidR="003669FA" w:rsidRPr="00C37F15">
        <w:rPr>
          <w:rFonts w:ascii="Times New Roman" w:eastAsia="Times New Roman" w:hAnsi="Times New Roman" w:cs="Times New Roman"/>
          <w:sz w:val="19"/>
          <w:szCs w:val="19"/>
          <w:lang w:eastAsia="es-MX"/>
        </w:rPr>
        <w:t xml:space="preserve"> </w:t>
      </w:r>
    </w:p>
    <w:p w:rsidR="00412A50" w:rsidRPr="00C37F15" w:rsidRDefault="00C37F15" w:rsidP="00C37F15">
      <w:pPr>
        <w:jc w:val="center"/>
        <w:rPr>
          <w:rFonts w:ascii="Times New Roman" w:hAnsi="Times New Roman" w:cs="Times New Roman"/>
          <w:b/>
          <w:sz w:val="24"/>
          <w:szCs w:val="19"/>
        </w:rPr>
      </w:pPr>
      <w:r w:rsidRPr="00C37F15">
        <w:rPr>
          <w:rFonts w:ascii="Times New Roman" w:hAnsi="Times New Roman" w:cs="Times New Roman"/>
          <w:b/>
          <w:sz w:val="24"/>
          <w:szCs w:val="19"/>
        </w:rPr>
        <w:t>REFERENCIAS</w:t>
      </w:r>
    </w:p>
    <w:p w:rsidR="001C5474" w:rsidRPr="001C5474" w:rsidRDefault="001C5474" w:rsidP="00BB0CBB">
      <w:pPr>
        <w:ind w:left="709" w:hanging="709"/>
        <w:jc w:val="both"/>
        <w:rPr>
          <w:rFonts w:ascii="Times New Roman" w:hAnsi="Times New Roman" w:cs="Times New Roman"/>
          <w:sz w:val="19"/>
          <w:szCs w:val="19"/>
        </w:rPr>
      </w:pPr>
      <w:proofErr w:type="spellStart"/>
      <w:r w:rsidRPr="001C5474">
        <w:rPr>
          <w:rFonts w:ascii="Times New Roman" w:hAnsi="Times New Roman" w:cs="Times New Roman"/>
          <w:sz w:val="19"/>
          <w:szCs w:val="19"/>
        </w:rPr>
        <w:t>Aguaded</w:t>
      </w:r>
      <w:proofErr w:type="spellEnd"/>
      <w:r>
        <w:rPr>
          <w:rFonts w:ascii="Times New Roman" w:hAnsi="Times New Roman" w:cs="Times New Roman"/>
          <w:sz w:val="19"/>
          <w:szCs w:val="19"/>
        </w:rPr>
        <w:t>, J.I. y</w:t>
      </w:r>
      <w:r w:rsidRPr="001C5474">
        <w:rPr>
          <w:rFonts w:ascii="Times New Roman" w:hAnsi="Times New Roman" w:cs="Times New Roman"/>
          <w:sz w:val="19"/>
          <w:szCs w:val="19"/>
        </w:rPr>
        <w:t xml:space="preserve"> </w:t>
      </w:r>
      <w:r>
        <w:rPr>
          <w:rFonts w:ascii="Times New Roman" w:hAnsi="Times New Roman" w:cs="Times New Roman"/>
          <w:sz w:val="19"/>
          <w:szCs w:val="19"/>
        </w:rPr>
        <w:t>Martínez-</w:t>
      </w:r>
      <w:proofErr w:type="spellStart"/>
      <w:r>
        <w:rPr>
          <w:rFonts w:ascii="Times New Roman" w:hAnsi="Times New Roman" w:cs="Times New Roman"/>
          <w:sz w:val="19"/>
          <w:szCs w:val="19"/>
        </w:rPr>
        <w:t>Salanova</w:t>
      </w:r>
      <w:proofErr w:type="spellEnd"/>
      <w:r>
        <w:rPr>
          <w:rFonts w:ascii="Times New Roman" w:hAnsi="Times New Roman" w:cs="Times New Roman"/>
          <w:sz w:val="19"/>
          <w:szCs w:val="19"/>
        </w:rPr>
        <w:t>, E. (1998).</w:t>
      </w:r>
      <w:r w:rsidRPr="001C5474">
        <w:t xml:space="preserve"> </w:t>
      </w:r>
      <w:r w:rsidRPr="001C5474">
        <w:rPr>
          <w:rFonts w:ascii="Times New Roman" w:hAnsi="Times New Roman" w:cs="Times New Roman"/>
          <w:i/>
          <w:sz w:val="19"/>
          <w:szCs w:val="19"/>
        </w:rPr>
        <w:t>Medios, recursos y tecnología didáctica para la Formación Profesional Ocupacional</w:t>
      </w:r>
      <w:r>
        <w:rPr>
          <w:rFonts w:ascii="Times New Roman" w:hAnsi="Times New Roman" w:cs="Times New Roman"/>
          <w:i/>
          <w:sz w:val="19"/>
          <w:szCs w:val="19"/>
        </w:rPr>
        <w:t>.</w:t>
      </w:r>
      <w:r w:rsidRPr="001C5474">
        <w:t xml:space="preserve"> </w:t>
      </w:r>
      <w:r>
        <w:rPr>
          <w:rFonts w:ascii="Times New Roman" w:hAnsi="Times New Roman" w:cs="Times New Roman"/>
          <w:sz w:val="19"/>
          <w:szCs w:val="19"/>
        </w:rPr>
        <w:t>Ed. Huelva</w:t>
      </w:r>
      <w:r w:rsidRPr="001C5474">
        <w:rPr>
          <w:rFonts w:ascii="Times New Roman" w:hAnsi="Times New Roman" w:cs="Times New Roman"/>
          <w:sz w:val="19"/>
          <w:szCs w:val="19"/>
        </w:rPr>
        <w:t>: FACEP.</w:t>
      </w:r>
      <w:r>
        <w:rPr>
          <w:rFonts w:ascii="Times New Roman" w:hAnsi="Times New Roman" w:cs="Times New Roman"/>
          <w:sz w:val="19"/>
          <w:szCs w:val="19"/>
        </w:rPr>
        <w:t xml:space="preserve"> </w:t>
      </w:r>
      <w:r w:rsidRPr="001C5474">
        <w:rPr>
          <w:rFonts w:ascii="Times New Roman" w:hAnsi="Times New Roman" w:cs="Times New Roman"/>
          <w:sz w:val="19"/>
          <w:szCs w:val="19"/>
        </w:rPr>
        <w:t>España.</w:t>
      </w:r>
    </w:p>
    <w:p w:rsidR="001A4FF0" w:rsidRDefault="001A4FF0" w:rsidP="00BB0CBB">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Asociación Nacional de Universidades e Inst</w:t>
      </w:r>
      <w:r w:rsidR="00DB1678" w:rsidRPr="00C37F15">
        <w:rPr>
          <w:rFonts w:ascii="Times New Roman" w:hAnsi="Times New Roman" w:cs="Times New Roman"/>
          <w:sz w:val="19"/>
          <w:szCs w:val="19"/>
        </w:rPr>
        <w:t xml:space="preserve">ituciones de Educación Superior [ANUIES] (1999). </w:t>
      </w:r>
      <w:r w:rsidRPr="00C37F15">
        <w:rPr>
          <w:rFonts w:ascii="Times New Roman" w:hAnsi="Times New Roman" w:cs="Times New Roman"/>
          <w:sz w:val="19"/>
          <w:szCs w:val="19"/>
        </w:rPr>
        <w:t>El Servicio Social y la Educaci</w:t>
      </w:r>
      <w:r w:rsidR="00DB1678" w:rsidRPr="00C37F15">
        <w:rPr>
          <w:rFonts w:ascii="Times New Roman" w:hAnsi="Times New Roman" w:cs="Times New Roman"/>
          <w:sz w:val="19"/>
          <w:szCs w:val="19"/>
        </w:rPr>
        <w:t>ón Superior Frente a la Pobreza. México</w:t>
      </w:r>
    </w:p>
    <w:p w:rsidR="008E4052" w:rsidRPr="00C37F15" w:rsidRDefault="008E4052" w:rsidP="008E4052">
      <w:pPr>
        <w:ind w:left="709" w:hanging="709"/>
        <w:jc w:val="both"/>
        <w:rPr>
          <w:rFonts w:ascii="Times New Roman" w:hAnsi="Times New Roman" w:cs="Times New Roman"/>
          <w:sz w:val="19"/>
          <w:szCs w:val="19"/>
        </w:rPr>
      </w:pPr>
      <w:proofErr w:type="spellStart"/>
      <w:r>
        <w:rPr>
          <w:rFonts w:ascii="Times New Roman" w:hAnsi="Times New Roman" w:cs="Times New Roman"/>
          <w:sz w:val="19"/>
          <w:szCs w:val="19"/>
        </w:rPr>
        <w:t>Balestrini</w:t>
      </w:r>
      <w:proofErr w:type="spellEnd"/>
      <w:r w:rsidR="00A955CB">
        <w:rPr>
          <w:rFonts w:ascii="Times New Roman" w:hAnsi="Times New Roman" w:cs="Times New Roman"/>
          <w:sz w:val="19"/>
          <w:szCs w:val="19"/>
        </w:rPr>
        <w:t>, M.</w:t>
      </w:r>
      <w:r>
        <w:rPr>
          <w:rFonts w:ascii="Times New Roman" w:hAnsi="Times New Roman" w:cs="Times New Roman"/>
          <w:sz w:val="19"/>
          <w:szCs w:val="19"/>
        </w:rPr>
        <w:t xml:space="preserve"> (1997</w:t>
      </w:r>
      <w:r w:rsidRPr="00C37F15">
        <w:rPr>
          <w:rFonts w:ascii="Times New Roman" w:hAnsi="Times New Roman" w:cs="Times New Roman"/>
          <w:sz w:val="19"/>
          <w:szCs w:val="19"/>
        </w:rPr>
        <w:t xml:space="preserve">). </w:t>
      </w:r>
      <w:r>
        <w:rPr>
          <w:rFonts w:ascii="Times New Roman" w:hAnsi="Times New Roman" w:cs="Times New Roman"/>
          <w:sz w:val="19"/>
          <w:szCs w:val="19"/>
        </w:rPr>
        <w:t xml:space="preserve">Programa de </w:t>
      </w:r>
      <w:r w:rsidR="00AF5B1F">
        <w:rPr>
          <w:rFonts w:ascii="Times New Roman" w:hAnsi="Times New Roman" w:cs="Times New Roman"/>
          <w:sz w:val="19"/>
          <w:szCs w:val="19"/>
        </w:rPr>
        <w:t>Estadística</w:t>
      </w:r>
      <w:r w:rsidRPr="00C37F15">
        <w:rPr>
          <w:rFonts w:ascii="Times New Roman" w:hAnsi="Times New Roman" w:cs="Times New Roman"/>
          <w:sz w:val="19"/>
          <w:szCs w:val="19"/>
        </w:rPr>
        <w:t>. México</w:t>
      </w:r>
      <w:r w:rsidR="00AF5B1F">
        <w:rPr>
          <w:rFonts w:ascii="Times New Roman" w:hAnsi="Times New Roman" w:cs="Times New Roman"/>
          <w:sz w:val="19"/>
          <w:szCs w:val="19"/>
        </w:rPr>
        <w:t xml:space="preserve">. Autor. Recuperado: </w:t>
      </w:r>
      <w:r w:rsidR="00AF5B1F" w:rsidRPr="00AF5B1F">
        <w:rPr>
          <w:rFonts w:ascii="Times New Roman" w:hAnsi="Times New Roman" w:cs="Times New Roman"/>
          <w:sz w:val="19"/>
          <w:szCs w:val="19"/>
        </w:rPr>
        <w:t>http://tesis.ula.ve/postgrado/tde_busca/arquivo.php?codArquivo=1413</w:t>
      </w:r>
    </w:p>
    <w:p w:rsidR="007B433E" w:rsidRPr="00C37F15" w:rsidRDefault="007B433E" w:rsidP="00BB0CBB">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Cano C. (2004). Reflexiones sobre el futuro del servicio social universitario Reencuentro, 40, pp. 1-10. Universidad Autónoma Metropolitana Unidad Xochimilco Distrito Federal, México. Recuperado: http://www.redalyc.org/articulo.oa?id=34004011.</w:t>
      </w:r>
    </w:p>
    <w:p w:rsidR="00A91BA1" w:rsidRPr="00A955CB" w:rsidRDefault="002532F7" w:rsidP="00BB0CBB">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Casilla, D., Camacho,</w:t>
      </w:r>
      <w:r w:rsidR="00A955CB">
        <w:rPr>
          <w:rFonts w:ascii="Times New Roman" w:hAnsi="Times New Roman" w:cs="Times New Roman"/>
          <w:sz w:val="19"/>
          <w:szCs w:val="19"/>
        </w:rPr>
        <w:t xml:space="preserve"> </w:t>
      </w:r>
      <w:r w:rsidR="003C7FF1" w:rsidRPr="00C37F15">
        <w:rPr>
          <w:rFonts w:ascii="Times New Roman" w:hAnsi="Times New Roman" w:cs="Times New Roman"/>
          <w:sz w:val="19"/>
          <w:szCs w:val="19"/>
        </w:rPr>
        <w:t>H</w:t>
      </w:r>
      <w:r w:rsidR="007B433E" w:rsidRPr="00C37F15">
        <w:rPr>
          <w:rFonts w:ascii="Times New Roman" w:hAnsi="Times New Roman" w:cs="Times New Roman"/>
          <w:sz w:val="19"/>
          <w:szCs w:val="19"/>
        </w:rPr>
        <w:t>.</w:t>
      </w:r>
      <w:r w:rsidR="003C7FF1" w:rsidRPr="00C37F15">
        <w:rPr>
          <w:rFonts w:ascii="Times New Roman" w:hAnsi="Times New Roman" w:cs="Times New Roman"/>
          <w:sz w:val="19"/>
          <w:szCs w:val="19"/>
        </w:rPr>
        <w:t xml:space="preserve">, </w:t>
      </w:r>
      <w:proofErr w:type="spellStart"/>
      <w:r w:rsidR="003C7FF1" w:rsidRPr="00C37F15">
        <w:rPr>
          <w:rFonts w:ascii="Times New Roman" w:hAnsi="Times New Roman" w:cs="Times New Roman"/>
          <w:sz w:val="19"/>
          <w:szCs w:val="19"/>
        </w:rPr>
        <w:t>Inciarte</w:t>
      </w:r>
      <w:proofErr w:type="spellEnd"/>
      <w:r w:rsidR="003C7FF1" w:rsidRPr="00C37F15">
        <w:rPr>
          <w:rFonts w:ascii="Times New Roman" w:hAnsi="Times New Roman" w:cs="Times New Roman"/>
          <w:sz w:val="19"/>
          <w:szCs w:val="19"/>
        </w:rPr>
        <w:t>, A.</w:t>
      </w:r>
      <w:r w:rsidR="007B433E" w:rsidRPr="00C37F15">
        <w:rPr>
          <w:rFonts w:ascii="Times New Roman" w:hAnsi="Times New Roman" w:cs="Times New Roman"/>
          <w:sz w:val="19"/>
          <w:szCs w:val="19"/>
        </w:rPr>
        <w:t xml:space="preserve"> y </w:t>
      </w:r>
      <w:proofErr w:type="spellStart"/>
      <w:r w:rsidR="007B433E" w:rsidRPr="00C37F15">
        <w:rPr>
          <w:rFonts w:ascii="Times New Roman" w:hAnsi="Times New Roman" w:cs="Times New Roman"/>
          <w:sz w:val="19"/>
          <w:szCs w:val="19"/>
        </w:rPr>
        <w:t>Canquiz</w:t>
      </w:r>
      <w:proofErr w:type="spellEnd"/>
      <w:r w:rsidR="007B433E" w:rsidRPr="00C37F15">
        <w:rPr>
          <w:rFonts w:ascii="Times New Roman" w:hAnsi="Times New Roman" w:cs="Times New Roman"/>
          <w:sz w:val="19"/>
          <w:szCs w:val="19"/>
        </w:rPr>
        <w:t xml:space="preserve"> L. (2006).El desafío del servicio comunitario en la educación superior. </w:t>
      </w:r>
      <w:proofErr w:type="spellStart"/>
      <w:r w:rsidR="00A91BA1" w:rsidRPr="00C37F15">
        <w:rPr>
          <w:rFonts w:ascii="Times New Roman" w:hAnsi="Times New Roman" w:cs="Times New Roman"/>
          <w:i/>
          <w:sz w:val="19"/>
          <w:szCs w:val="19"/>
        </w:rPr>
        <w:t>Omnia</w:t>
      </w:r>
      <w:proofErr w:type="spellEnd"/>
      <w:r w:rsidR="007B433E" w:rsidRPr="00C37F15">
        <w:rPr>
          <w:rFonts w:ascii="Times New Roman" w:hAnsi="Times New Roman" w:cs="Times New Roman"/>
          <w:sz w:val="19"/>
          <w:szCs w:val="19"/>
        </w:rPr>
        <w:t xml:space="preserve"> 12 (</w:t>
      </w:r>
      <w:r w:rsidR="00A91BA1" w:rsidRPr="00C37F15">
        <w:rPr>
          <w:rFonts w:ascii="Times New Roman" w:hAnsi="Times New Roman" w:cs="Times New Roman"/>
          <w:sz w:val="19"/>
          <w:szCs w:val="19"/>
        </w:rPr>
        <w:t>1</w:t>
      </w:r>
      <w:r w:rsidR="007B433E" w:rsidRPr="00C37F15">
        <w:rPr>
          <w:rFonts w:ascii="Times New Roman" w:hAnsi="Times New Roman" w:cs="Times New Roman"/>
          <w:sz w:val="19"/>
          <w:szCs w:val="19"/>
        </w:rPr>
        <w:t xml:space="preserve">) pp. 9. </w:t>
      </w:r>
      <w:r w:rsidR="00902141" w:rsidRPr="00C37F15">
        <w:rPr>
          <w:rFonts w:ascii="Times New Roman" w:hAnsi="Times New Roman" w:cs="Times New Roman"/>
          <w:sz w:val="19"/>
          <w:szCs w:val="19"/>
        </w:rPr>
        <w:t>Recuperado</w:t>
      </w:r>
      <w:r w:rsidR="00902141" w:rsidRPr="00A955CB">
        <w:rPr>
          <w:rFonts w:ascii="Times New Roman" w:hAnsi="Times New Roman" w:cs="Times New Roman"/>
          <w:sz w:val="19"/>
          <w:szCs w:val="19"/>
        </w:rPr>
        <w:t>:</w:t>
      </w:r>
      <w:r w:rsidR="0093111A" w:rsidRPr="00A955CB">
        <w:rPr>
          <w:rFonts w:ascii="Times New Roman" w:hAnsi="Times New Roman" w:cs="Times New Roman"/>
          <w:sz w:val="19"/>
          <w:szCs w:val="19"/>
        </w:rPr>
        <w:t xml:space="preserve"> </w:t>
      </w:r>
      <w:hyperlink r:id="rId9" w:history="1">
        <w:r w:rsidR="00D46DF6" w:rsidRPr="00A955CB">
          <w:rPr>
            <w:rStyle w:val="Hipervnculo"/>
            <w:rFonts w:ascii="Times New Roman" w:hAnsi="Times New Roman" w:cs="Times New Roman"/>
            <w:color w:val="auto"/>
            <w:sz w:val="19"/>
            <w:szCs w:val="19"/>
            <w:u w:val="none"/>
          </w:rPr>
          <w:t>http://www.redalyc.org/pdf/737/73712105.pdf</w:t>
        </w:r>
      </w:hyperlink>
      <w:r w:rsidR="00902141" w:rsidRPr="00A955CB">
        <w:rPr>
          <w:rFonts w:ascii="Times New Roman" w:hAnsi="Times New Roman" w:cs="Times New Roman"/>
          <w:sz w:val="19"/>
          <w:szCs w:val="19"/>
        </w:rPr>
        <w:t>.</w:t>
      </w:r>
    </w:p>
    <w:p w:rsidR="00D46DF6" w:rsidRPr="00C37F15" w:rsidRDefault="00D46DF6" w:rsidP="00D46DF6">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 xml:space="preserve">George, D., y </w:t>
      </w:r>
      <w:proofErr w:type="spellStart"/>
      <w:r w:rsidRPr="00C37F15">
        <w:rPr>
          <w:rFonts w:ascii="Times New Roman" w:hAnsi="Times New Roman" w:cs="Times New Roman"/>
          <w:sz w:val="19"/>
          <w:szCs w:val="19"/>
        </w:rPr>
        <w:t>Mallery</w:t>
      </w:r>
      <w:proofErr w:type="spellEnd"/>
      <w:r w:rsidRPr="00C37F15">
        <w:rPr>
          <w:rFonts w:ascii="Times New Roman" w:hAnsi="Times New Roman" w:cs="Times New Roman"/>
          <w:sz w:val="19"/>
          <w:szCs w:val="19"/>
        </w:rPr>
        <w:t xml:space="preserve">, P. (2003). SPSS </w:t>
      </w:r>
      <w:proofErr w:type="spellStart"/>
      <w:r w:rsidRPr="00C37F15">
        <w:rPr>
          <w:rFonts w:ascii="Times New Roman" w:hAnsi="Times New Roman" w:cs="Times New Roman"/>
          <w:sz w:val="19"/>
          <w:szCs w:val="19"/>
        </w:rPr>
        <w:t>for</w:t>
      </w:r>
      <w:proofErr w:type="spellEnd"/>
      <w:r w:rsidRPr="00C37F15">
        <w:rPr>
          <w:rFonts w:ascii="Times New Roman" w:hAnsi="Times New Roman" w:cs="Times New Roman"/>
          <w:sz w:val="19"/>
          <w:szCs w:val="19"/>
        </w:rPr>
        <w:t xml:space="preserve"> Wind</w:t>
      </w:r>
      <w:r w:rsidR="00AF5B1F">
        <w:rPr>
          <w:rFonts w:ascii="Times New Roman" w:hAnsi="Times New Roman" w:cs="Times New Roman"/>
          <w:sz w:val="19"/>
          <w:szCs w:val="19"/>
        </w:rPr>
        <w:t xml:space="preserve">ows </w:t>
      </w:r>
      <w:proofErr w:type="spellStart"/>
      <w:r w:rsidR="00AF5B1F">
        <w:rPr>
          <w:rFonts w:ascii="Times New Roman" w:hAnsi="Times New Roman" w:cs="Times New Roman"/>
          <w:sz w:val="19"/>
          <w:szCs w:val="19"/>
        </w:rPr>
        <w:t>step</w:t>
      </w:r>
      <w:proofErr w:type="spellEnd"/>
      <w:r w:rsidR="00AF5B1F">
        <w:rPr>
          <w:rFonts w:ascii="Times New Roman" w:hAnsi="Times New Roman" w:cs="Times New Roman"/>
          <w:sz w:val="19"/>
          <w:szCs w:val="19"/>
        </w:rPr>
        <w:t xml:space="preserve"> </w:t>
      </w:r>
      <w:proofErr w:type="spellStart"/>
      <w:r w:rsidR="00AF5B1F">
        <w:rPr>
          <w:rFonts w:ascii="Times New Roman" w:hAnsi="Times New Roman" w:cs="Times New Roman"/>
          <w:sz w:val="19"/>
          <w:szCs w:val="19"/>
        </w:rPr>
        <w:t>by</w:t>
      </w:r>
      <w:proofErr w:type="spellEnd"/>
      <w:r w:rsidR="00AF5B1F">
        <w:rPr>
          <w:rFonts w:ascii="Times New Roman" w:hAnsi="Times New Roman" w:cs="Times New Roman"/>
          <w:sz w:val="19"/>
          <w:szCs w:val="19"/>
        </w:rPr>
        <w:t xml:space="preserve"> </w:t>
      </w:r>
      <w:proofErr w:type="spellStart"/>
      <w:r w:rsidR="00AF5B1F">
        <w:rPr>
          <w:rFonts w:ascii="Times New Roman" w:hAnsi="Times New Roman" w:cs="Times New Roman"/>
          <w:sz w:val="19"/>
          <w:szCs w:val="19"/>
        </w:rPr>
        <w:t>step</w:t>
      </w:r>
      <w:proofErr w:type="spellEnd"/>
      <w:r w:rsidR="00AF5B1F">
        <w:rPr>
          <w:rFonts w:ascii="Times New Roman" w:hAnsi="Times New Roman" w:cs="Times New Roman"/>
          <w:sz w:val="19"/>
          <w:szCs w:val="19"/>
        </w:rPr>
        <w:t>: A simple</w:t>
      </w:r>
      <w:r w:rsidRPr="00C37F15">
        <w:rPr>
          <w:rFonts w:ascii="Times New Roman" w:hAnsi="Times New Roman" w:cs="Times New Roman"/>
          <w:sz w:val="19"/>
          <w:szCs w:val="19"/>
        </w:rPr>
        <w:t xml:space="preserve">  guide and </w:t>
      </w:r>
      <w:proofErr w:type="spellStart"/>
      <w:r w:rsidRPr="00C37F15">
        <w:rPr>
          <w:rFonts w:ascii="Times New Roman" w:hAnsi="Times New Roman" w:cs="Times New Roman"/>
          <w:sz w:val="19"/>
          <w:szCs w:val="19"/>
        </w:rPr>
        <w:t>reference</w:t>
      </w:r>
      <w:proofErr w:type="spellEnd"/>
      <w:r w:rsidRPr="00C37F15">
        <w:rPr>
          <w:rFonts w:ascii="Times New Roman" w:hAnsi="Times New Roman" w:cs="Times New Roman"/>
          <w:sz w:val="19"/>
          <w:szCs w:val="19"/>
        </w:rPr>
        <w:t>.  1</w:t>
      </w:r>
      <w:r w:rsidR="00A630EF">
        <w:rPr>
          <w:rFonts w:ascii="Times New Roman" w:hAnsi="Times New Roman" w:cs="Times New Roman"/>
          <w:sz w:val="19"/>
          <w:szCs w:val="19"/>
        </w:rPr>
        <w:t xml:space="preserve">1.0 </w:t>
      </w:r>
      <w:proofErr w:type="spellStart"/>
      <w:r w:rsidR="00A630EF">
        <w:rPr>
          <w:rFonts w:ascii="Times New Roman" w:hAnsi="Times New Roman" w:cs="Times New Roman"/>
          <w:sz w:val="19"/>
          <w:szCs w:val="19"/>
        </w:rPr>
        <w:t>update</w:t>
      </w:r>
      <w:proofErr w:type="spellEnd"/>
      <w:r w:rsidR="00A630EF">
        <w:rPr>
          <w:rFonts w:ascii="Times New Roman" w:hAnsi="Times New Roman" w:cs="Times New Roman"/>
          <w:sz w:val="19"/>
          <w:szCs w:val="19"/>
        </w:rPr>
        <w:t xml:space="preserve"> (4ta Ed.).  Boston: </w:t>
      </w:r>
      <w:proofErr w:type="spellStart"/>
      <w:r w:rsidRPr="00C37F15">
        <w:rPr>
          <w:rFonts w:ascii="Times New Roman" w:hAnsi="Times New Roman" w:cs="Times New Roman"/>
          <w:sz w:val="19"/>
          <w:szCs w:val="19"/>
        </w:rPr>
        <w:t>Allyn</w:t>
      </w:r>
      <w:proofErr w:type="spellEnd"/>
      <w:r w:rsidRPr="00C37F15">
        <w:rPr>
          <w:rFonts w:ascii="Times New Roman" w:hAnsi="Times New Roman" w:cs="Times New Roman"/>
          <w:sz w:val="19"/>
          <w:szCs w:val="19"/>
        </w:rPr>
        <w:t>&amp; Bacon.</w:t>
      </w:r>
    </w:p>
    <w:p w:rsidR="00D46DF6" w:rsidRPr="00C37F15" w:rsidRDefault="00D46DF6" w:rsidP="00D46DF6">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Hernández, S. Fernández, C. y Baptista, L. (2010). Metodología de la Investigación. Quinta Edición Mc Gra</w:t>
      </w:r>
      <w:r w:rsidR="00AF5B1F">
        <w:rPr>
          <w:rFonts w:ascii="Times New Roman" w:hAnsi="Times New Roman" w:cs="Times New Roman"/>
          <w:sz w:val="19"/>
          <w:szCs w:val="19"/>
        </w:rPr>
        <w:t xml:space="preserve">w Hill. México. </w:t>
      </w:r>
      <w:r w:rsidRPr="00C37F15">
        <w:rPr>
          <w:rFonts w:ascii="Times New Roman" w:hAnsi="Times New Roman" w:cs="Times New Roman"/>
          <w:sz w:val="19"/>
          <w:szCs w:val="19"/>
        </w:rPr>
        <w:t>Autor. Recuperado:</w:t>
      </w:r>
      <w:r w:rsidR="00AF5B1F">
        <w:rPr>
          <w:rFonts w:ascii="Times New Roman" w:hAnsi="Times New Roman" w:cs="Times New Roman"/>
          <w:sz w:val="19"/>
          <w:szCs w:val="19"/>
        </w:rPr>
        <w:t xml:space="preserve"> </w:t>
      </w:r>
      <w:r w:rsidRPr="00C37F15">
        <w:rPr>
          <w:rFonts w:ascii="Times New Roman" w:hAnsi="Times New Roman" w:cs="Times New Roman"/>
          <w:sz w:val="19"/>
          <w:szCs w:val="19"/>
        </w:rPr>
        <w:t>https://www.academia.edu/6399195/Metodologia_de_la_investigacion_5ta_Edicion_Sampieri.</w:t>
      </w:r>
    </w:p>
    <w:p w:rsidR="000204B0" w:rsidRPr="00C37F15" w:rsidRDefault="000204B0" w:rsidP="00BB0CBB">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 xml:space="preserve">Organización de las Naciones Unidas para la Educación, Ciencia y Cultura [UNESCO] </w:t>
      </w:r>
      <w:r w:rsidR="004C6E07" w:rsidRPr="00C37F15">
        <w:rPr>
          <w:rFonts w:ascii="Times New Roman" w:hAnsi="Times New Roman" w:cs="Times New Roman"/>
          <w:sz w:val="19"/>
          <w:szCs w:val="19"/>
        </w:rPr>
        <w:t>(</w:t>
      </w:r>
      <w:r w:rsidR="00004917" w:rsidRPr="00C37F15">
        <w:rPr>
          <w:rFonts w:ascii="Times New Roman" w:hAnsi="Times New Roman" w:cs="Times New Roman"/>
          <w:sz w:val="19"/>
          <w:szCs w:val="19"/>
        </w:rPr>
        <w:t>1984</w:t>
      </w:r>
      <w:r w:rsidR="004C6E07" w:rsidRPr="00C37F15">
        <w:rPr>
          <w:rFonts w:ascii="Times New Roman" w:hAnsi="Times New Roman" w:cs="Times New Roman"/>
          <w:sz w:val="19"/>
          <w:szCs w:val="19"/>
        </w:rPr>
        <w:t>)</w:t>
      </w:r>
      <w:r w:rsidRPr="00C37F15">
        <w:rPr>
          <w:rFonts w:ascii="Times New Roman" w:hAnsi="Times New Roman" w:cs="Times New Roman"/>
          <w:sz w:val="19"/>
          <w:szCs w:val="19"/>
        </w:rPr>
        <w:t xml:space="preserve">. </w:t>
      </w:r>
      <w:r w:rsidR="004C6E07" w:rsidRPr="00C37F15">
        <w:rPr>
          <w:rFonts w:ascii="Times New Roman" w:hAnsi="Times New Roman" w:cs="Times New Roman"/>
          <w:sz w:val="19"/>
          <w:szCs w:val="19"/>
        </w:rPr>
        <w:t>El servicio social universitario un instrumento de innovación en la enseñanza superior”.</w:t>
      </w:r>
      <w:r w:rsidR="0093111A" w:rsidRPr="00C37F15">
        <w:rPr>
          <w:rFonts w:ascii="Times New Roman" w:hAnsi="Times New Roman" w:cs="Times New Roman"/>
          <w:sz w:val="19"/>
          <w:szCs w:val="19"/>
        </w:rPr>
        <w:t xml:space="preserve"> </w:t>
      </w:r>
      <w:r w:rsidR="00004917" w:rsidRPr="00C37F15">
        <w:rPr>
          <w:rFonts w:ascii="Times New Roman" w:hAnsi="Times New Roman" w:cs="Times New Roman"/>
          <w:sz w:val="19"/>
          <w:szCs w:val="19"/>
        </w:rPr>
        <w:t xml:space="preserve">Cuadernos de la Educación Superior. Distribución limitada. </w:t>
      </w:r>
      <w:r w:rsidRPr="00C37F15">
        <w:rPr>
          <w:rFonts w:ascii="Times New Roman" w:hAnsi="Times New Roman" w:cs="Times New Roman"/>
          <w:sz w:val="19"/>
          <w:szCs w:val="19"/>
        </w:rPr>
        <w:t xml:space="preserve"> Tomo 6</w:t>
      </w:r>
      <w:r w:rsidR="00A630EF">
        <w:rPr>
          <w:rFonts w:ascii="Times New Roman" w:hAnsi="Times New Roman" w:cs="Times New Roman"/>
          <w:sz w:val="19"/>
          <w:szCs w:val="19"/>
        </w:rPr>
        <w:t>.</w:t>
      </w:r>
    </w:p>
    <w:p w:rsidR="007B433E" w:rsidRPr="00C37F15" w:rsidRDefault="007B433E" w:rsidP="00BB0CBB">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Ruiz,  L. (2003). Formación integral: desarrollo intelectual, emocional, social y ético de los estudiantes. Revista Universidad de Sonora, pp.10-13</w:t>
      </w:r>
    </w:p>
    <w:p w:rsidR="007B433E" w:rsidRPr="00C37F15" w:rsidRDefault="007B433E" w:rsidP="00BB0CBB">
      <w:pPr>
        <w:ind w:left="709" w:hanging="709"/>
        <w:jc w:val="both"/>
        <w:rPr>
          <w:rFonts w:ascii="Times New Roman" w:hAnsi="Times New Roman" w:cs="Times New Roman"/>
          <w:sz w:val="19"/>
          <w:szCs w:val="19"/>
        </w:rPr>
      </w:pPr>
      <w:r w:rsidRPr="00C37F15">
        <w:rPr>
          <w:rFonts w:ascii="Times New Roman" w:hAnsi="Times New Roman" w:cs="Times New Roman"/>
          <w:sz w:val="19"/>
          <w:szCs w:val="19"/>
        </w:rPr>
        <w:t xml:space="preserve">Secretaría de Desarrollo Social [SEDESOL] (2006).Informe Presupuestal 2001-2006 programa “Jóvenes por México”. Recuperado: </w:t>
      </w:r>
      <w:hyperlink r:id="rId10" w:history="1">
        <w:r w:rsidR="003669FA" w:rsidRPr="00C37F15">
          <w:rPr>
            <w:rStyle w:val="Hipervnculo"/>
            <w:rFonts w:ascii="Times New Roman" w:hAnsi="Times New Roman" w:cs="Times New Roman"/>
            <w:color w:val="auto"/>
            <w:sz w:val="19"/>
            <w:szCs w:val="19"/>
            <w:u w:val="none"/>
          </w:rPr>
          <w:t>http://www.2006-2012.sedesol.gob.mx/es/SEDESOL/Prog_Jovenes_por_Mexico</w:t>
        </w:r>
      </w:hyperlink>
      <w:r w:rsidRPr="00C37F15">
        <w:rPr>
          <w:rFonts w:ascii="Times New Roman" w:hAnsi="Times New Roman" w:cs="Times New Roman"/>
          <w:sz w:val="19"/>
          <w:szCs w:val="19"/>
        </w:rPr>
        <w:t>.</w:t>
      </w:r>
    </w:p>
    <w:p w:rsidR="003669FA" w:rsidRPr="00C37F15" w:rsidRDefault="003669FA" w:rsidP="00B04D57">
      <w:pPr>
        <w:ind w:left="708" w:hanging="708"/>
        <w:jc w:val="both"/>
        <w:rPr>
          <w:rFonts w:ascii="Times New Roman" w:hAnsi="Times New Roman" w:cs="Times New Roman"/>
          <w:sz w:val="19"/>
          <w:szCs w:val="19"/>
        </w:rPr>
      </w:pPr>
      <w:r w:rsidRPr="00C37F15">
        <w:rPr>
          <w:rFonts w:ascii="Times New Roman" w:hAnsi="Times New Roman" w:cs="Times New Roman"/>
          <w:sz w:val="19"/>
          <w:szCs w:val="19"/>
        </w:rPr>
        <w:lastRenderedPageBreak/>
        <w:t xml:space="preserve">Universidad Nacional </w:t>
      </w:r>
      <w:r w:rsidR="00B04D57" w:rsidRPr="00C37F15">
        <w:rPr>
          <w:rFonts w:ascii="Times New Roman" w:hAnsi="Times New Roman" w:cs="Times New Roman"/>
          <w:sz w:val="19"/>
          <w:szCs w:val="19"/>
        </w:rPr>
        <w:t>Autónoma de México [UNAM] (</w:t>
      </w:r>
      <w:r w:rsidRPr="00C37F15">
        <w:rPr>
          <w:rFonts w:ascii="Times New Roman" w:hAnsi="Times New Roman" w:cs="Times New Roman"/>
          <w:sz w:val="19"/>
          <w:szCs w:val="19"/>
        </w:rPr>
        <w:t xml:space="preserve">2009). Servicio Social. </w:t>
      </w:r>
      <w:r w:rsidR="003C0FE9" w:rsidRPr="00C37F15">
        <w:rPr>
          <w:rFonts w:ascii="Times New Roman" w:hAnsi="Times New Roman" w:cs="Times New Roman"/>
          <w:sz w:val="19"/>
          <w:szCs w:val="19"/>
        </w:rPr>
        <w:t xml:space="preserve"> México. Autor. </w:t>
      </w:r>
      <w:r w:rsidRPr="00C37F15">
        <w:rPr>
          <w:rFonts w:ascii="Times New Roman" w:hAnsi="Times New Roman" w:cs="Times New Roman"/>
          <w:sz w:val="19"/>
          <w:szCs w:val="19"/>
        </w:rPr>
        <w:t xml:space="preserve">Recuperado: </w:t>
      </w:r>
      <w:hyperlink r:id="rId11" w:history="1">
        <w:r w:rsidRPr="00C37F15">
          <w:rPr>
            <w:rStyle w:val="Hipervnculo"/>
            <w:rFonts w:ascii="Times New Roman" w:hAnsi="Times New Roman" w:cs="Times New Roman"/>
            <w:color w:val="auto"/>
            <w:sz w:val="19"/>
            <w:szCs w:val="19"/>
            <w:u w:val="none"/>
          </w:rPr>
          <w:t>http://www.dgoserver.unam.mx/portaldgose/servicio-social/htmls/ss-carreras/ssc-perfil-profesional/ssc-perfiles-ciencias-sociales/ssc-perfil-economia.html</w:t>
        </w:r>
      </w:hyperlink>
    </w:p>
    <w:p w:rsidR="00EB0B59" w:rsidRPr="00C37F15" w:rsidRDefault="00054DC2" w:rsidP="00A630EF">
      <w:pPr>
        <w:pStyle w:val="Prrafodelista"/>
        <w:spacing w:line="240" w:lineRule="auto"/>
        <w:ind w:left="709" w:hanging="709"/>
        <w:jc w:val="both"/>
        <w:rPr>
          <w:rFonts w:ascii="Times New Roman" w:hAnsi="Times New Roman" w:cs="Times New Roman"/>
          <w:sz w:val="19"/>
          <w:szCs w:val="19"/>
        </w:rPr>
      </w:pPr>
      <w:r w:rsidRPr="007861DC">
        <w:rPr>
          <w:rFonts w:ascii="Times New Roman" w:hAnsi="Times New Roman" w:cs="Times New Roman"/>
          <w:sz w:val="19"/>
          <w:szCs w:val="19"/>
        </w:rPr>
        <w:t xml:space="preserve">Universidad Juárez Autónoma de Tabasco [UJAT] (2015).  Servicio Social Comunitario. México. Autor. Recuperado: </w:t>
      </w:r>
      <w:hyperlink r:id="rId12" w:history="1">
        <w:r w:rsidR="00BB0CBB" w:rsidRPr="007861DC">
          <w:rPr>
            <w:rStyle w:val="Hipervnculo"/>
            <w:rFonts w:ascii="Times New Roman" w:hAnsi="Times New Roman" w:cs="Times New Roman"/>
            <w:color w:val="auto"/>
            <w:sz w:val="19"/>
            <w:szCs w:val="19"/>
            <w:u w:val="none"/>
          </w:rPr>
          <w:t>http://www.ujat.mx/Contenido/InteriorAdentro/127/435</w:t>
        </w:r>
      </w:hyperlink>
    </w:p>
    <w:p w:rsidR="00667E58" w:rsidRPr="00C37F15" w:rsidRDefault="008E4052" w:rsidP="00A630EF">
      <w:pPr>
        <w:spacing w:line="240" w:lineRule="auto"/>
        <w:ind w:left="709" w:hanging="709"/>
        <w:jc w:val="both"/>
        <w:rPr>
          <w:rFonts w:ascii="Times New Roman" w:hAnsi="Times New Roman" w:cs="Times New Roman"/>
          <w:sz w:val="19"/>
          <w:szCs w:val="19"/>
        </w:rPr>
      </w:pPr>
      <w:r>
        <w:rPr>
          <w:rFonts w:ascii="Times New Roman" w:hAnsi="Times New Roman" w:cs="Times New Roman"/>
          <w:sz w:val="19"/>
          <w:szCs w:val="19"/>
        </w:rPr>
        <w:t>-</w:t>
      </w:r>
      <w:r w:rsidR="001E3171" w:rsidRPr="00C37F15">
        <w:rPr>
          <w:rFonts w:ascii="Times New Roman" w:hAnsi="Times New Roman" w:cs="Times New Roman"/>
          <w:sz w:val="19"/>
          <w:szCs w:val="19"/>
        </w:rPr>
        <w:t>(2014</w:t>
      </w:r>
      <w:r w:rsidR="00667E58" w:rsidRPr="00C37F15">
        <w:rPr>
          <w:rFonts w:ascii="Times New Roman" w:hAnsi="Times New Roman" w:cs="Times New Roman"/>
          <w:sz w:val="19"/>
          <w:szCs w:val="19"/>
        </w:rPr>
        <w:t xml:space="preserve">).  </w:t>
      </w:r>
      <w:r w:rsidR="001E3171" w:rsidRPr="00C37F15">
        <w:rPr>
          <w:rFonts w:ascii="Times New Roman" w:hAnsi="Times New Roman" w:cs="Times New Roman"/>
          <w:sz w:val="19"/>
          <w:szCs w:val="19"/>
        </w:rPr>
        <w:t>3er. Informe de Actividades</w:t>
      </w:r>
      <w:r w:rsidR="00667E58" w:rsidRPr="00C37F15">
        <w:rPr>
          <w:rFonts w:ascii="Times New Roman" w:hAnsi="Times New Roman" w:cs="Times New Roman"/>
          <w:sz w:val="19"/>
          <w:szCs w:val="19"/>
        </w:rPr>
        <w:t>.</w:t>
      </w:r>
      <w:r w:rsidR="001E3171" w:rsidRPr="00C37F15">
        <w:rPr>
          <w:rFonts w:ascii="Times New Roman" w:hAnsi="Times New Roman" w:cs="Times New Roman"/>
          <w:sz w:val="19"/>
          <w:szCs w:val="19"/>
        </w:rPr>
        <w:t xml:space="preserve"> María del Carmen Ancona Alcocer. </w:t>
      </w:r>
      <w:r w:rsidR="00667E58" w:rsidRPr="00C37F15">
        <w:rPr>
          <w:rFonts w:ascii="Times New Roman" w:hAnsi="Times New Roman" w:cs="Times New Roman"/>
          <w:sz w:val="19"/>
          <w:szCs w:val="19"/>
        </w:rPr>
        <w:t xml:space="preserve"> México. Autor. </w:t>
      </w:r>
    </w:p>
    <w:p w:rsidR="00BB0CBB" w:rsidRPr="00C37F15" w:rsidRDefault="008E4052" w:rsidP="00723BFF">
      <w:pPr>
        <w:ind w:left="709" w:hanging="709"/>
        <w:jc w:val="both"/>
        <w:rPr>
          <w:rFonts w:ascii="Times New Roman" w:hAnsi="Times New Roman" w:cs="Times New Roman"/>
          <w:sz w:val="19"/>
          <w:szCs w:val="19"/>
        </w:rPr>
      </w:pPr>
      <w:r>
        <w:rPr>
          <w:rFonts w:ascii="Times New Roman" w:hAnsi="Times New Roman" w:cs="Times New Roman"/>
          <w:sz w:val="19"/>
          <w:szCs w:val="19"/>
        </w:rPr>
        <w:t>-</w:t>
      </w:r>
      <w:r w:rsidR="00723BFF" w:rsidRPr="00C37F15">
        <w:rPr>
          <w:rFonts w:ascii="Times New Roman" w:hAnsi="Times New Roman" w:cs="Times New Roman"/>
          <w:sz w:val="19"/>
          <w:szCs w:val="19"/>
        </w:rPr>
        <w:t xml:space="preserve">(2009).  Modelo Educativo 2009. </w:t>
      </w:r>
      <w:proofErr w:type="spellStart"/>
      <w:r w:rsidR="00723BFF" w:rsidRPr="00C37F15">
        <w:rPr>
          <w:rFonts w:ascii="Times New Roman" w:hAnsi="Times New Roman" w:cs="Times New Roman"/>
          <w:sz w:val="19"/>
          <w:szCs w:val="19"/>
        </w:rPr>
        <w:t>Candita</w:t>
      </w:r>
      <w:proofErr w:type="spellEnd"/>
      <w:r w:rsidR="00723BFF" w:rsidRPr="00C37F15">
        <w:rPr>
          <w:rFonts w:ascii="Times New Roman" w:hAnsi="Times New Roman" w:cs="Times New Roman"/>
          <w:sz w:val="19"/>
          <w:szCs w:val="19"/>
        </w:rPr>
        <w:t xml:space="preserve"> Victoria Gil Jiménez.  México. Autor. </w:t>
      </w:r>
    </w:p>
    <w:p w:rsidR="00A92C4B" w:rsidRDefault="00A630EF" w:rsidP="00A630EF">
      <w:pPr>
        <w:pStyle w:val="Sinespaciado"/>
        <w:ind w:left="709" w:hanging="709"/>
        <w:rPr>
          <w:rFonts w:ascii="Times New Roman" w:hAnsi="Times New Roman" w:cs="Times New Roman"/>
          <w:sz w:val="19"/>
          <w:szCs w:val="19"/>
        </w:rPr>
      </w:pPr>
      <w:r w:rsidRPr="00A630EF">
        <w:rPr>
          <w:rFonts w:ascii="Times New Roman" w:hAnsi="Times New Roman" w:cs="Times New Roman"/>
          <w:sz w:val="19"/>
          <w:szCs w:val="19"/>
        </w:rPr>
        <w:t>-(2006).</w:t>
      </w:r>
      <w:r>
        <w:rPr>
          <w:rFonts w:ascii="Times New Roman" w:hAnsi="Times New Roman" w:cs="Times New Roman"/>
          <w:sz w:val="19"/>
          <w:szCs w:val="19"/>
        </w:rPr>
        <w:t xml:space="preserve"> </w:t>
      </w:r>
      <w:r w:rsidRPr="00A630EF">
        <w:rPr>
          <w:rFonts w:ascii="Times New Roman" w:hAnsi="Times New Roman" w:cs="Times New Roman"/>
          <w:sz w:val="19"/>
          <w:szCs w:val="19"/>
        </w:rPr>
        <w:t xml:space="preserve"> </w:t>
      </w:r>
      <w:r w:rsidR="007B433E" w:rsidRPr="00A630EF">
        <w:rPr>
          <w:rFonts w:ascii="Times New Roman" w:hAnsi="Times New Roman" w:cs="Times New Roman"/>
          <w:sz w:val="19"/>
          <w:szCs w:val="19"/>
        </w:rPr>
        <w:t xml:space="preserve">Reglamento de servicio social y práctica. México. Autor. Recuperado: </w:t>
      </w:r>
      <w:hyperlink r:id="rId13" w:history="1">
        <w:r w:rsidR="00F731E9" w:rsidRPr="00A630EF">
          <w:rPr>
            <w:rStyle w:val="Hipervnculo"/>
            <w:rFonts w:ascii="Times New Roman" w:hAnsi="Times New Roman" w:cs="Times New Roman"/>
            <w:color w:val="auto"/>
            <w:sz w:val="19"/>
            <w:szCs w:val="19"/>
            <w:u w:val="none"/>
          </w:rPr>
          <w:t>http://www.archivos.ujat.mx/abogado_gral/legislacion_universitaria09/reglamento_servicio_social.pdf</w:t>
        </w:r>
      </w:hyperlink>
      <w:r w:rsidR="007B433E" w:rsidRPr="00A630EF">
        <w:rPr>
          <w:rFonts w:ascii="Times New Roman" w:hAnsi="Times New Roman" w:cs="Times New Roman"/>
          <w:sz w:val="19"/>
          <w:szCs w:val="19"/>
        </w:rPr>
        <w:t>.</w:t>
      </w:r>
    </w:p>
    <w:p w:rsidR="00A630EF" w:rsidRPr="00A630EF" w:rsidRDefault="00A630EF" w:rsidP="00A630EF">
      <w:pPr>
        <w:pStyle w:val="Sinespaciado"/>
        <w:ind w:left="709" w:hanging="709"/>
        <w:rPr>
          <w:rFonts w:ascii="Times New Roman" w:hAnsi="Times New Roman" w:cs="Times New Roman"/>
          <w:sz w:val="19"/>
          <w:szCs w:val="19"/>
        </w:rPr>
      </w:pPr>
    </w:p>
    <w:p w:rsidR="00D46DF6" w:rsidRPr="00A630EF" w:rsidRDefault="00D46DF6" w:rsidP="00EB0FBE">
      <w:pPr>
        <w:spacing w:line="240" w:lineRule="auto"/>
        <w:ind w:left="709" w:hanging="709"/>
        <w:jc w:val="both"/>
        <w:rPr>
          <w:rFonts w:ascii="Times New Roman" w:hAnsi="Times New Roman" w:cs="Times New Roman"/>
          <w:sz w:val="19"/>
          <w:szCs w:val="19"/>
        </w:rPr>
      </w:pPr>
      <w:proofErr w:type="spellStart"/>
      <w:r w:rsidRPr="00A630EF">
        <w:rPr>
          <w:rFonts w:ascii="Times New Roman" w:hAnsi="Times New Roman" w:cs="Times New Roman"/>
          <w:sz w:val="19"/>
          <w:szCs w:val="19"/>
        </w:rPr>
        <w:t>Welch</w:t>
      </w:r>
      <w:proofErr w:type="spellEnd"/>
      <w:r w:rsidRPr="00A630EF">
        <w:rPr>
          <w:rFonts w:ascii="Times New Roman" w:hAnsi="Times New Roman" w:cs="Times New Roman"/>
          <w:sz w:val="19"/>
          <w:szCs w:val="19"/>
        </w:rPr>
        <w:t xml:space="preserve">, S. y Comer, J. (1988). </w:t>
      </w:r>
      <w:proofErr w:type="spellStart"/>
      <w:r w:rsidRPr="00A630EF">
        <w:rPr>
          <w:rFonts w:ascii="Times New Roman" w:hAnsi="Times New Roman" w:cs="Times New Roman"/>
          <w:sz w:val="19"/>
          <w:szCs w:val="19"/>
        </w:rPr>
        <w:t>Quantitative</w:t>
      </w:r>
      <w:proofErr w:type="spellEnd"/>
      <w:r w:rsidRPr="00A630EF">
        <w:rPr>
          <w:rFonts w:ascii="Times New Roman" w:hAnsi="Times New Roman" w:cs="Times New Roman"/>
          <w:sz w:val="19"/>
          <w:szCs w:val="19"/>
        </w:rPr>
        <w:t xml:space="preserve"> </w:t>
      </w:r>
      <w:proofErr w:type="spellStart"/>
      <w:r w:rsidRPr="00A630EF">
        <w:rPr>
          <w:rFonts w:ascii="Times New Roman" w:hAnsi="Times New Roman" w:cs="Times New Roman"/>
          <w:sz w:val="19"/>
          <w:szCs w:val="19"/>
        </w:rPr>
        <w:t>Methods</w:t>
      </w:r>
      <w:proofErr w:type="spellEnd"/>
      <w:r w:rsidRPr="00A630EF">
        <w:rPr>
          <w:rFonts w:ascii="Times New Roman" w:hAnsi="Times New Roman" w:cs="Times New Roman"/>
          <w:sz w:val="19"/>
          <w:szCs w:val="19"/>
        </w:rPr>
        <w:t xml:space="preserve"> </w:t>
      </w:r>
      <w:proofErr w:type="spellStart"/>
      <w:r w:rsidRPr="00A630EF">
        <w:rPr>
          <w:rFonts w:ascii="Times New Roman" w:hAnsi="Times New Roman" w:cs="Times New Roman"/>
          <w:sz w:val="19"/>
          <w:szCs w:val="19"/>
        </w:rPr>
        <w:t>for</w:t>
      </w:r>
      <w:proofErr w:type="spellEnd"/>
      <w:r w:rsidRPr="00A630EF">
        <w:rPr>
          <w:rFonts w:ascii="Times New Roman" w:hAnsi="Times New Roman" w:cs="Times New Roman"/>
          <w:sz w:val="19"/>
          <w:szCs w:val="19"/>
        </w:rPr>
        <w:t xml:space="preserve"> </w:t>
      </w:r>
      <w:proofErr w:type="spellStart"/>
      <w:r w:rsidRPr="00A630EF">
        <w:rPr>
          <w:rFonts w:ascii="Times New Roman" w:hAnsi="Times New Roman" w:cs="Times New Roman"/>
          <w:sz w:val="19"/>
          <w:szCs w:val="19"/>
        </w:rPr>
        <w:t>Public</w:t>
      </w:r>
      <w:proofErr w:type="spellEnd"/>
      <w:r w:rsidRPr="00A630EF">
        <w:rPr>
          <w:rFonts w:ascii="Times New Roman" w:hAnsi="Times New Roman" w:cs="Times New Roman"/>
          <w:sz w:val="19"/>
          <w:szCs w:val="19"/>
        </w:rPr>
        <w:t xml:space="preserve"> </w:t>
      </w:r>
      <w:proofErr w:type="spellStart"/>
      <w:r w:rsidRPr="00A630EF">
        <w:rPr>
          <w:rFonts w:ascii="Times New Roman" w:hAnsi="Times New Roman" w:cs="Times New Roman"/>
          <w:sz w:val="19"/>
          <w:szCs w:val="19"/>
        </w:rPr>
        <w:t>Administration</w:t>
      </w:r>
      <w:proofErr w:type="spellEnd"/>
      <w:r w:rsidRPr="00A630EF">
        <w:rPr>
          <w:rFonts w:ascii="Times New Roman" w:hAnsi="Times New Roman" w:cs="Times New Roman"/>
          <w:sz w:val="19"/>
          <w:szCs w:val="19"/>
        </w:rPr>
        <w:t xml:space="preserve">: 2a. Ed., </w:t>
      </w:r>
      <w:proofErr w:type="spellStart"/>
      <w:r w:rsidRPr="00A630EF">
        <w:rPr>
          <w:rFonts w:ascii="Times New Roman" w:hAnsi="Times New Roman" w:cs="Times New Roman"/>
          <w:sz w:val="19"/>
          <w:szCs w:val="19"/>
        </w:rPr>
        <w:t>Pacific</w:t>
      </w:r>
      <w:proofErr w:type="spellEnd"/>
      <w:r w:rsidRPr="00A630EF">
        <w:rPr>
          <w:rFonts w:ascii="Times New Roman" w:hAnsi="Times New Roman" w:cs="Times New Roman"/>
          <w:sz w:val="19"/>
          <w:szCs w:val="19"/>
        </w:rPr>
        <w:t xml:space="preserve"> Grove: Brooks/Cole Publishing </w:t>
      </w:r>
      <w:proofErr w:type="spellStart"/>
      <w:r w:rsidRPr="00A630EF">
        <w:rPr>
          <w:rFonts w:ascii="Times New Roman" w:hAnsi="Times New Roman" w:cs="Times New Roman"/>
          <w:sz w:val="19"/>
          <w:szCs w:val="19"/>
        </w:rPr>
        <w:t>Company</w:t>
      </w:r>
      <w:proofErr w:type="spellEnd"/>
      <w:r w:rsidRPr="00A630EF">
        <w:rPr>
          <w:rFonts w:ascii="Times New Roman" w:hAnsi="Times New Roman" w:cs="Times New Roman"/>
          <w:sz w:val="19"/>
          <w:szCs w:val="19"/>
        </w:rPr>
        <w:t>.</w:t>
      </w:r>
    </w:p>
    <w:p w:rsidR="00852FCD" w:rsidRPr="00C37F15" w:rsidRDefault="00C37F15" w:rsidP="00C37F15">
      <w:pPr>
        <w:jc w:val="center"/>
        <w:rPr>
          <w:rFonts w:ascii="Times New Roman" w:hAnsi="Times New Roman" w:cs="Times New Roman"/>
          <w:b/>
          <w:sz w:val="24"/>
          <w:szCs w:val="24"/>
        </w:rPr>
      </w:pPr>
      <w:r w:rsidRPr="00C37F15">
        <w:rPr>
          <w:rFonts w:ascii="Times New Roman" w:hAnsi="Times New Roman" w:cs="Times New Roman"/>
          <w:b/>
          <w:sz w:val="24"/>
          <w:szCs w:val="24"/>
        </w:rPr>
        <w:t>SOBRE LOS AUTORES</w:t>
      </w:r>
    </w:p>
    <w:p w:rsidR="00852FCD" w:rsidRPr="00C37F15" w:rsidRDefault="00852FCD" w:rsidP="00852FCD">
      <w:pPr>
        <w:jc w:val="both"/>
        <w:rPr>
          <w:rFonts w:ascii="Times New Roman" w:hAnsi="Times New Roman" w:cs="Times New Roman"/>
          <w:i/>
          <w:sz w:val="19"/>
          <w:szCs w:val="19"/>
        </w:rPr>
      </w:pPr>
      <w:r w:rsidRPr="00C37F15">
        <w:rPr>
          <w:rFonts w:ascii="Times New Roman" w:hAnsi="Times New Roman" w:cs="Times New Roman"/>
          <w:b/>
          <w:i/>
          <w:sz w:val="19"/>
          <w:szCs w:val="19"/>
        </w:rPr>
        <w:t>Juan Carlos Díaz López</w:t>
      </w:r>
      <w:r w:rsidR="00C37F15" w:rsidRPr="00C37F15">
        <w:rPr>
          <w:rFonts w:ascii="Times New Roman" w:hAnsi="Times New Roman" w:cs="Times New Roman"/>
          <w:i/>
          <w:sz w:val="19"/>
          <w:szCs w:val="19"/>
        </w:rPr>
        <w:t xml:space="preserve">: </w:t>
      </w:r>
      <w:r w:rsidRPr="00C37F15">
        <w:rPr>
          <w:rFonts w:ascii="Times New Roman" w:hAnsi="Times New Roman" w:cs="Times New Roman"/>
          <w:i/>
          <w:sz w:val="19"/>
          <w:szCs w:val="19"/>
        </w:rPr>
        <w:t xml:space="preserve">Profesional Técnico Bachiller en Asistente </w:t>
      </w:r>
      <w:r w:rsidR="00A630EF">
        <w:rPr>
          <w:rFonts w:ascii="Times New Roman" w:hAnsi="Times New Roman" w:cs="Times New Roman"/>
          <w:i/>
          <w:sz w:val="19"/>
          <w:szCs w:val="19"/>
        </w:rPr>
        <w:t>Directivo;</w:t>
      </w:r>
      <w:r w:rsidRPr="00C37F15">
        <w:rPr>
          <w:rFonts w:ascii="Times New Roman" w:hAnsi="Times New Roman" w:cs="Times New Roman"/>
          <w:i/>
          <w:sz w:val="19"/>
          <w:szCs w:val="19"/>
        </w:rPr>
        <w:t xml:space="preserve"> Estudiante de  la Licenciatura en Administración en la Universidad Juárez Autónoma de</w:t>
      </w:r>
      <w:r w:rsidR="0093111A" w:rsidRPr="00C37F15">
        <w:rPr>
          <w:rFonts w:ascii="Times New Roman" w:hAnsi="Times New Roman" w:cs="Times New Roman"/>
          <w:i/>
          <w:sz w:val="19"/>
          <w:szCs w:val="19"/>
        </w:rPr>
        <w:t xml:space="preserve"> </w:t>
      </w:r>
      <w:r w:rsidRPr="00C37F15">
        <w:rPr>
          <w:rFonts w:ascii="Times New Roman" w:hAnsi="Times New Roman" w:cs="Times New Roman"/>
          <w:i/>
          <w:sz w:val="19"/>
          <w:szCs w:val="19"/>
        </w:rPr>
        <w:t>Tabasco. Trabajó</w:t>
      </w:r>
      <w:r w:rsidR="0093111A" w:rsidRPr="00C37F15">
        <w:rPr>
          <w:rFonts w:ascii="Times New Roman" w:hAnsi="Times New Roman" w:cs="Times New Roman"/>
          <w:i/>
          <w:sz w:val="19"/>
          <w:szCs w:val="19"/>
        </w:rPr>
        <w:t xml:space="preserve"> </w:t>
      </w:r>
      <w:r w:rsidRPr="00C37F15">
        <w:rPr>
          <w:rFonts w:ascii="Times New Roman" w:hAnsi="Times New Roman" w:cs="Times New Roman"/>
          <w:i/>
          <w:sz w:val="19"/>
          <w:szCs w:val="19"/>
        </w:rPr>
        <w:t>como asistente ejecutivo en GRUPO ROLEED S.A. de C.V. Ha participado como ponente en el 1er. Encuentro estudiantil de Intercambio Académico “Emprendimiento Social”</w:t>
      </w:r>
      <w:r w:rsidR="00086EC7" w:rsidRPr="00C37F15">
        <w:rPr>
          <w:rFonts w:ascii="Times New Roman" w:hAnsi="Times New Roman" w:cs="Times New Roman"/>
          <w:i/>
          <w:sz w:val="19"/>
          <w:szCs w:val="19"/>
        </w:rPr>
        <w:t xml:space="preserve"> (2013)</w:t>
      </w:r>
      <w:r w:rsidRPr="00C37F15">
        <w:rPr>
          <w:rFonts w:ascii="Times New Roman" w:hAnsi="Times New Roman" w:cs="Times New Roman"/>
          <w:i/>
          <w:sz w:val="19"/>
          <w:szCs w:val="19"/>
        </w:rPr>
        <w:t>. Obtuvo 2do.lugar en el con</w:t>
      </w:r>
      <w:r w:rsidR="00086EC7" w:rsidRPr="00C37F15">
        <w:rPr>
          <w:rFonts w:ascii="Times New Roman" w:hAnsi="Times New Roman" w:cs="Times New Roman"/>
          <w:i/>
          <w:sz w:val="19"/>
          <w:szCs w:val="19"/>
        </w:rPr>
        <w:t>curso de Idea de Negocio en la Semana de Difusión y Divulgación Científica 2013</w:t>
      </w:r>
      <w:r w:rsidR="00A630EF" w:rsidRPr="00A630EF">
        <w:t xml:space="preserve"> </w:t>
      </w:r>
      <w:r w:rsidR="00A630EF" w:rsidRPr="00A630EF">
        <w:rPr>
          <w:rFonts w:ascii="Times New Roman" w:hAnsi="Times New Roman" w:cs="Times New Roman"/>
          <w:i/>
          <w:sz w:val="19"/>
          <w:szCs w:val="19"/>
        </w:rPr>
        <w:t>y en el XII Congreso Internacional e</w:t>
      </w:r>
      <w:r w:rsidR="00793674">
        <w:rPr>
          <w:rFonts w:ascii="Times New Roman" w:hAnsi="Times New Roman" w:cs="Times New Roman"/>
          <w:i/>
          <w:sz w:val="19"/>
          <w:szCs w:val="19"/>
        </w:rPr>
        <w:t>n Análisis Organizacional (2014).</w:t>
      </w:r>
    </w:p>
    <w:p w:rsidR="00852FCD" w:rsidRPr="00C37F15" w:rsidRDefault="00852FCD" w:rsidP="00852FCD">
      <w:pPr>
        <w:jc w:val="both"/>
        <w:rPr>
          <w:rFonts w:ascii="Times New Roman" w:hAnsi="Times New Roman" w:cs="Times New Roman"/>
          <w:i/>
          <w:sz w:val="19"/>
          <w:szCs w:val="19"/>
        </w:rPr>
      </w:pPr>
      <w:r w:rsidRPr="00C37F15">
        <w:rPr>
          <w:rFonts w:ascii="Times New Roman" w:hAnsi="Times New Roman" w:cs="Times New Roman"/>
          <w:b/>
          <w:i/>
          <w:sz w:val="19"/>
          <w:szCs w:val="19"/>
        </w:rPr>
        <w:t>Cecilia García Muñoz Aparicio</w:t>
      </w:r>
      <w:r w:rsidR="00C37F15">
        <w:rPr>
          <w:rFonts w:ascii="Times New Roman" w:hAnsi="Times New Roman" w:cs="Times New Roman"/>
          <w:b/>
          <w:i/>
          <w:sz w:val="19"/>
          <w:szCs w:val="19"/>
        </w:rPr>
        <w:t>:</w:t>
      </w:r>
      <w:r w:rsidRPr="00C37F15">
        <w:rPr>
          <w:rFonts w:ascii="Times New Roman" w:hAnsi="Times New Roman" w:cs="Times New Roman"/>
          <w:i/>
          <w:sz w:val="19"/>
          <w:szCs w:val="19"/>
        </w:rPr>
        <w:t xml:space="preserve"> Doctora en Ciencias Económico Administrativas, Maestra en Administración, </w:t>
      </w:r>
      <w:r w:rsidR="00C37F15">
        <w:rPr>
          <w:rFonts w:ascii="Times New Roman" w:hAnsi="Times New Roman" w:cs="Times New Roman"/>
          <w:i/>
          <w:sz w:val="19"/>
          <w:szCs w:val="19"/>
        </w:rPr>
        <w:t>profesora investigadora</w:t>
      </w:r>
      <w:r w:rsidRPr="00C37F15">
        <w:rPr>
          <w:rFonts w:ascii="Times New Roman" w:hAnsi="Times New Roman" w:cs="Times New Roman"/>
          <w:i/>
          <w:sz w:val="19"/>
          <w:szCs w:val="19"/>
        </w:rPr>
        <w:t xml:space="preserve"> en la División Académica de Ciencias Económico Administrativas en la Universidad Juárez Autónoma de Tabasco; certificada por la Asociación Nacional de Facultades y Escuelas de Contaduría y Administración</w:t>
      </w:r>
      <w:r w:rsidR="00793674">
        <w:rPr>
          <w:rFonts w:ascii="Times New Roman" w:hAnsi="Times New Roman" w:cs="Times New Roman"/>
          <w:i/>
          <w:sz w:val="19"/>
          <w:szCs w:val="19"/>
        </w:rPr>
        <w:t>[ANFECA]</w:t>
      </w:r>
      <w:r w:rsidRPr="00C37F15">
        <w:rPr>
          <w:rFonts w:ascii="Times New Roman" w:hAnsi="Times New Roman" w:cs="Times New Roman"/>
          <w:i/>
          <w:sz w:val="19"/>
          <w:szCs w:val="19"/>
        </w:rPr>
        <w:t xml:space="preserve">; pertenece al Sistema Estatal de Investigadores del Estado de Tabasco en México y es perfil PRODEP. </w:t>
      </w:r>
      <w:r w:rsidR="00793674" w:rsidRPr="00793674">
        <w:rPr>
          <w:rFonts w:ascii="Times New Roman" w:hAnsi="Times New Roman" w:cs="Times New Roman"/>
          <w:i/>
          <w:sz w:val="19"/>
          <w:szCs w:val="19"/>
        </w:rPr>
        <w:t xml:space="preserve">Acreditada del Sistema Nacional de Consultores PYME por la Secretaría de Economía </w:t>
      </w:r>
      <w:r w:rsidRPr="00C37F15">
        <w:rPr>
          <w:rFonts w:ascii="Times New Roman" w:hAnsi="Times New Roman" w:cs="Times New Roman"/>
          <w:i/>
          <w:sz w:val="19"/>
          <w:szCs w:val="19"/>
        </w:rPr>
        <w:t>Correo: flamingos1999@hotmail.com</w:t>
      </w:r>
    </w:p>
    <w:p w:rsidR="00852FCD" w:rsidRPr="00C37F15" w:rsidRDefault="00852FCD" w:rsidP="00852FCD">
      <w:pPr>
        <w:jc w:val="both"/>
        <w:rPr>
          <w:rFonts w:ascii="Times New Roman" w:hAnsi="Times New Roman" w:cs="Times New Roman"/>
          <w:i/>
          <w:sz w:val="19"/>
          <w:szCs w:val="19"/>
        </w:rPr>
      </w:pPr>
      <w:r w:rsidRPr="00C37F15">
        <w:rPr>
          <w:rFonts w:ascii="Times New Roman" w:hAnsi="Times New Roman" w:cs="Times New Roman"/>
          <w:b/>
          <w:i/>
          <w:sz w:val="19"/>
          <w:szCs w:val="19"/>
        </w:rPr>
        <w:t>María del Carmen Ancona Alcocer</w:t>
      </w:r>
      <w:r w:rsidR="00C37F15">
        <w:rPr>
          <w:rFonts w:ascii="Times New Roman" w:hAnsi="Times New Roman" w:cs="Times New Roman"/>
          <w:i/>
          <w:sz w:val="19"/>
          <w:szCs w:val="19"/>
        </w:rPr>
        <w:t>:</w:t>
      </w:r>
      <w:r w:rsidRPr="00C37F15">
        <w:rPr>
          <w:rFonts w:ascii="Times New Roman" w:hAnsi="Times New Roman" w:cs="Times New Roman"/>
          <w:i/>
          <w:sz w:val="19"/>
          <w:szCs w:val="19"/>
        </w:rPr>
        <w:t xml:space="preserve"> </w:t>
      </w:r>
      <w:r w:rsidR="00C37F15">
        <w:rPr>
          <w:rFonts w:ascii="Times New Roman" w:hAnsi="Times New Roman" w:cs="Times New Roman"/>
          <w:i/>
          <w:sz w:val="19"/>
          <w:szCs w:val="19"/>
        </w:rPr>
        <w:t xml:space="preserve">Licenciada en Administración, </w:t>
      </w:r>
      <w:r w:rsidRPr="00C37F15">
        <w:rPr>
          <w:rFonts w:ascii="Times New Roman" w:hAnsi="Times New Roman" w:cs="Times New Roman"/>
          <w:i/>
          <w:sz w:val="19"/>
          <w:szCs w:val="19"/>
        </w:rPr>
        <w:t>Maestra en Administración, y profesora investigadora</w:t>
      </w:r>
      <w:r w:rsidR="00C37F15">
        <w:rPr>
          <w:rFonts w:ascii="Times New Roman" w:hAnsi="Times New Roman" w:cs="Times New Roman"/>
          <w:i/>
          <w:sz w:val="19"/>
          <w:szCs w:val="19"/>
        </w:rPr>
        <w:t xml:space="preserve"> en la División Académica de Ciencias Económico Administrativas</w:t>
      </w:r>
      <w:r w:rsidRPr="00C37F15">
        <w:rPr>
          <w:rFonts w:ascii="Times New Roman" w:hAnsi="Times New Roman" w:cs="Times New Roman"/>
          <w:i/>
          <w:sz w:val="19"/>
          <w:szCs w:val="19"/>
        </w:rPr>
        <w:t xml:space="preserve"> en la Universidad Juárez Autónoma de Tabasco; certificada por la Asociación Nacional de Facultades y Escuelas de Contaduría</w:t>
      </w:r>
      <w:r w:rsidR="00793674">
        <w:rPr>
          <w:rFonts w:ascii="Times New Roman" w:hAnsi="Times New Roman" w:cs="Times New Roman"/>
          <w:i/>
          <w:sz w:val="19"/>
          <w:szCs w:val="19"/>
        </w:rPr>
        <w:t>[ANFECA]</w:t>
      </w:r>
      <w:r w:rsidRPr="00C37F15">
        <w:rPr>
          <w:rFonts w:ascii="Times New Roman" w:hAnsi="Times New Roman" w:cs="Times New Roman"/>
          <w:i/>
          <w:sz w:val="19"/>
          <w:szCs w:val="19"/>
        </w:rPr>
        <w:t xml:space="preserve"> y Administración; pertenece al Sistema Estatal de Investigadores del Estado de Tabasco en México y es perfil PRODEP. </w:t>
      </w:r>
      <w:r w:rsidR="00793674" w:rsidRPr="00793674">
        <w:rPr>
          <w:rFonts w:ascii="Times New Roman" w:hAnsi="Times New Roman" w:cs="Times New Roman"/>
          <w:i/>
          <w:sz w:val="19"/>
          <w:szCs w:val="19"/>
        </w:rPr>
        <w:t xml:space="preserve">Acreditada del Sistema Nacional de Consultores PYME por la Secretaría de Economía </w:t>
      </w:r>
      <w:r w:rsidRPr="00C37F15">
        <w:rPr>
          <w:rFonts w:ascii="Times New Roman" w:hAnsi="Times New Roman" w:cs="Times New Roman"/>
          <w:i/>
          <w:sz w:val="19"/>
          <w:szCs w:val="19"/>
        </w:rPr>
        <w:t xml:space="preserve">Correo: </w:t>
      </w:r>
      <w:hyperlink r:id="rId14" w:history="1">
        <w:r w:rsidRPr="00C37F15">
          <w:rPr>
            <w:rStyle w:val="Hipervnculo"/>
            <w:rFonts w:ascii="Times New Roman" w:hAnsi="Times New Roman" w:cs="Times New Roman"/>
            <w:i/>
            <w:color w:val="auto"/>
            <w:sz w:val="19"/>
            <w:szCs w:val="19"/>
            <w:u w:val="none"/>
          </w:rPr>
          <w:t>caraa@hotmail.com</w:t>
        </w:r>
      </w:hyperlink>
    </w:p>
    <w:p w:rsidR="00852FCD" w:rsidRPr="00C37F15" w:rsidRDefault="00852FCD" w:rsidP="00852FCD">
      <w:pPr>
        <w:jc w:val="both"/>
        <w:rPr>
          <w:rFonts w:ascii="Times New Roman" w:hAnsi="Times New Roman" w:cs="Times New Roman"/>
          <w:i/>
          <w:sz w:val="24"/>
        </w:rPr>
      </w:pPr>
      <w:r w:rsidRPr="00C37F15">
        <w:rPr>
          <w:rFonts w:ascii="Times New Roman" w:hAnsi="Times New Roman" w:cs="Times New Roman"/>
          <w:b/>
          <w:i/>
          <w:sz w:val="19"/>
          <w:szCs w:val="19"/>
        </w:rPr>
        <w:t>M</w:t>
      </w:r>
      <w:r w:rsidR="00C37F15">
        <w:rPr>
          <w:rFonts w:ascii="Times New Roman" w:hAnsi="Times New Roman" w:cs="Times New Roman"/>
          <w:b/>
          <w:i/>
          <w:sz w:val="19"/>
          <w:szCs w:val="19"/>
        </w:rPr>
        <w:t>aría del Carmen Navarrete Torres:</w:t>
      </w:r>
      <w:r w:rsidRPr="00C37F15">
        <w:rPr>
          <w:rFonts w:ascii="Times New Roman" w:hAnsi="Times New Roman" w:cs="Times New Roman"/>
          <w:i/>
          <w:sz w:val="19"/>
          <w:szCs w:val="19"/>
        </w:rPr>
        <w:t xml:space="preserve"> Licenciada en Ciencias y Técnicas de la Comunicación,  Maestra en Administración, profesora investigadora de tiempo completo de la Universidad Juárez Autónoma de Tabasco; certificada por la Asociación Nacional de Facultades y Escuelas de Contaduría y Admi</w:t>
      </w:r>
      <w:r w:rsidR="00793674">
        <w:rPr>
          <w:rFonts w:ascii="Times New Roman" w:hAnsi="Times New Roman" w:cs="Times New Roman"/>
          <w:i/>
          <w:sz w:val="19"/>
          <w:szCs w:val="19"/>
        </w:rPr>
        <w:t>nistración [ANFECA]</w:t>
      </w:r>
      <w:r w:rsidRPr="00C37F15">
        <w:rPr>
          <w:rFonts w:ascii="Times New Roman" w:hAnsi="Times New Roman" w:cs="Times New Roman"/>
          <w:i/>
          <w:sz w:val="19"/>
          <w:szCs w:val="19"/>
        </w:rPr>
        <w:t>; es perfil PRODEP (Programa para el Desarrollo Profesional Docente) pertenece al Sistema Estatal de Investigadores  del Estado de Tabasco (SEI) en México. Acreditada del Sistema Nacional de Consultores PYME por la Secretaría de Economía.</w:t>
      </w:r>
      <w:r w:rsidR="00086EC7" w:rsidRPr="00C37F15">
        <w:rPr>
          <w:rFonts w:ascii="Times New Roman" w:hAnsi="Times New Roman" w:cs="Times New Roman"/>
          <w:i/>
          <w:sz w:val="19"/>
          <w:szCs w:val="19"/>
        </w:rPr>
        <w:t xml:space="preserve"> Correo: mallynav@yahoo.com.mx</w:t>
      </w:r>
    </w:p>
    <w:sectPr w:rsidR="00852FCD" w:rsidRPr="00C37F15" w:rsidSect="00777C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C1" w:rsidRDefault="003D59C1" w:rsidP="00EB0B59">
      <w:pPr>
        <w:spacing w:after="0" w:line="240" w:lineRule="auto"/>
      </w:pPr>
      <w:r>
        <w:separator/>
      </w:r>
    </w:p>
  </w:endnote>
  <w:endnote w:type="continuationSeparator" w:id="0">
    <w:p w:rsidR="003D59C1" w:rsidRDefault="003D59C1" w:rsidP="00EB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C1" w:rsidRDefault="003D59C1" w:rsidP="00EB0B59">
      <w:pPr>
        <w:spacing w:after="0" w:line="240" w:lineRule="auto"/>
      </w:pPr>
      <w:r>
        <w:separator/>
      </w:r>
    </w:p>
  </w:footnote>
  <w:footnote w:type="continuationSeparator" w:id="0">
    <w:p w:rsidR="003D59C1" w:rsidRDefault="003D59C1" w:rsidP="00EB0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732D"/>
    <w:multiLevelType w:val="hybridMultilevel"/>
    <w:tmpl w:val="01F0AA54"/>
    <w:lvl w:ilvl="0" w:tplc="AC7A3C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4141DA"/>
    <w:multiLevelType w:val="hybridMultilevel"/>
    <w:tmpl w:val="D6503888"/>
    <w:lvl w:ilvl="0" w:tplc="135E646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486F01"/>
    <w:multiLevelType w:val="hybridMultilevel"/>
    <w:tmpl w:val="5360E07E"/>
    <w:lvl w:ilvl="0" w:tplc="BDC83C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1326365"/>
    <w:multiLevelType w:val="hybridMultilevel"/>
    <w:tmpl w:val="52308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12"/>
    <w:rsid w:val="00001C60"/>
    <w:rsid w:val="00002C9D"/>
    <w:rsid w:val="00004917"/>
    <w:rsid w:val="00006DAA"/>
    <w:rsid w:val="00011EDB"/>
    <w:rsid w:val="00013D02"/>
    <w:rsid w:val="000204B0"/>
    <w:rsid w:val="00047555"/>
    <w:rsid w:val="00054DC2"/>
    <w:rsid w:val="00057361"/>
    <w:rsid w:val="00077DB5"/>
    <w:rsid w:val="00086EC7"/>
    <w:rsid w:val="000B2410"/>
    <w:rsid w:val="000C256A"/>
    <w:rsid w:val="000C4547"/>
    <w:rsid w:val="000D5836"/>
    <w:rsid w:val="000E5F31"/>
    <w:rsid w:val="00110236"/>
    <w:rsid w:val="00126B97"/>
    <w:rsid w:val="0013113A"/>
    <w:rsid w:val="00133EBD"/>
    <w:rsid w:val="00135A6D"/>
    <w:rsid w:val="00141DB4"/>
    <w:rsid w:val="00142E41"/>
    <w:rsid w:val="0014700F"/>
    <w:rsid w:val="00152370"/>
    <w:rsid w:val="00155AEE"/>
    <w:rsid w:val="00155BBC"/>
    <w:rsid w:val="00157C53"/>
    <w:rsid w:val="00187CC3"/>
    <w:rsid w:val="00194F0A"/>
    <w:rsid w:val="001A4FF0"/>
    <w:rsid w:val="001A62F3"/>
    <w:rsid w:val="001C5474"/>
    <w:rsid w:val="001D0F5C"/>
    <w:rsid w:val="001E3171"/>
    <w:rsid w:val="001F768B"/>
    <w:rsid w:val="00202F6F"/>
    <w:rsid w:val="00217E0A"/>
    <w:rsid w:val="002365A9"/>
    <w:rsid w:val="002532F7"/>
    <w:rsid w:val="002552B0"/>
    <w:rsid w:val="00263AEA"/>
    <w:rsid w:val="00272ECC"/>
    <w:rsid w:val="00273CE6"/>
    <w:rsid w:val="00282DF3"/>
    <w:rsid w:val="00290598"/>
    <w:rsid w:val="002A3F00"/>
    <w:rsid w:val="002A58CA"/>
    <w:rsid w:val="002C1534"/>
    <w:rsid w:val="002D3381"/>
    <w:rsid w:val="002F203E"/>
    <w:rsid w:val="00300D96"/>
    <w:rsid w:val="00302278"/>
    <w:rsid w:val="003265DA"/>
    <w:rsid w:val="00333A4B"/>
    <w:rsid w:val="003669FA"/>
    <w:rsid w:val="00367D92"/>
    <w:rsid w:val="0037039D"/>
    <w:rsid w:val="0037474E"/>
    <w:rsid w:val="003A4BEE"/>
    <w:rsid w:val="003A60EB"/>
    <w:rsid w:val="003C0FE9"/>
    <w:rsid w:val="003C1A6B"/>
    <w:rsid w:val="003C702E"/>
    <w:rsid w:val="003C7FF1"/>
    <w:rsid w:val="003D59C1"/>
    <w:rsid w:val="003D756B"/>
    <w:rsid w:val="004006BE"/>
    <w:rsid w:val="00412A50"/>
    <w:rsid w:val="00420576"/>
    <w:rsid w:val="00421F50"/>
    <w:rsid w:val="00431B72"/>
    <w:rsid w:val="0044299C"/>
    <w:rsid w:val="00456D0B"/>
    <w:rsid w:val="004611FE"/>
    <w:rsid w:val="004834A4"/>
    <w:rsid w:val="004B3367"/>
    <w:rsid w:val="004C4068"/>
    <w:rsid w:val="004C6E07"/>
    <w:rsid w:val="004D467C"/>
    <w:rsid w:val="004E4C3D"/>
    <w:rsid w:val="00504185"/>
    <w:rsid w:val="00523AA3"/>
    <w:rsid w:val="00552587"/>
    <w:rsid w:val="00562B15"/>
    <w:rsid w:val="00575068"/>
    <w:rsid w:val="00587C3F"/>
    <w:rsid w:val="005918E3"/>
    <w:rsid w:val="005A32B2"/>
    <w:rsid w:val="005B4634"/>
    <w:rsid w:val="005C687A"/>
    <w:rsid w:val="005E30DB"/>
    <w:rsid w:val="005E68A9"/>
    <w:rsid w:val="005F4F76"/>
    <w:rsid w:val="005F5AAB"/>
    <w:rsid w:val="005F7DD9"/>
    <w:rsid w:val="00600E0E"/>
    <w:rsid w:val="0061450E"/>
    <w:rsid w:val="00623909"/>
    <w:rsid w:val="00633E8C"/>
    <w:rsid w:val="00667E58"/>
    <w:rsid w:val="0067192F"/>
    <w:rsid w:val="00676345"/>
    <w:rsid w:val="00695F18"/>
    <w:rsid w:val="006B23A7"/>
    <w:rsid w:val="006B33D7"/>
    <w:rsid w:val="006D2D66"/>
    <w:rsid w:val="006D4CA7"/>
    <w:rsid w:val="006D761F"/>
    <w:rsid w:val="006F1A9D"/>
    <w:rsid w:val="006F1AFA"/>
    <w:rsid w:val="006F539D"/>
    <w:rsid w:val="006F6170"/>
    <w:rsid w:val="007078A8"/>
    <w:rsid w:val="007155DF"/>
    <w:rsid w:val="00723BFF"/>
    <w:rsid w:val="00747006"/>
    <w:rsid w:val="00750F45"/>
    <w:rsid w:val="007560BF"/>
    <w:rsid w:val="00760716"/>
    <w:rsid w:val="00773140"/>
    <w:rsid w:val="007779C0"/>
    <w:rsid w:val="00777C4D"/>
    <w:rsid w:val="007861DC"/>
    <w:rsid w:val="00793674"/>
    <w:rsid w:val="00794978"/>
    <w:rsid w:val="007966D8"/>
    <w:rsid w:val="007A098C"/>
    <w:rsid w:val="007A7A93"/>
    <w:rsid w:val="007B433E"/>
    <w:rsid w:val="007B760A"/>
    <w:rsid w:val="007C65C4"/>
    <w:rsid w:val="00812090"/>
    <w:rsid w:val="008431CA"/>
    <w:rsid w:val="00852FCD"/>
    <w:rsid w:val="0086705D"/>
    <w:rsid w:val="008A581C"/>
    <w:rsid w:val="008C1E65"/>
    <w:rsid w:val="008E4052"/>
    <w:rsid w:val="008E72BC"/>
    <w:rsid w:val="008F33EF"/>
    <w:rsid w:val="008F3AA4"/>
    <w:rsid w:val="008F6CA9"/>
    <w:rsid w:val="00902141"/>
    <w:rsid w:val="00904C4D"/>
    <w:rsid w:val="00912A85"/>
    <w:rsid w:val="00913F1C"/>
    <w:rsid w:val="0093111A"/>
    <w:rsid w:val="0093262A"/>
    <w:rsid w:val="00934829"/>
    <w:rsid w:val="00943857"/>
    <w:rsid w:val="00951141"/>
    <w:rsid w:val="0096058E"/>
    <w:rsid w:val="00964ED5"/>
    <w:rsid w:val="009823FC"/>
    <w:rsid w:val="009B3236"/>
    <w:rsid w:val="009C6609"/>
    <w:rsid w:val="009F0818"/>
    <w:rsid w:val="00A401FD"/>
    <w:rsid w:val="00A544DB"/>
    <w:rsid w:val="00A62A24"/>
    <w:rsid w:val="00A630EF"/>
    <w:rsid w:val="00A63F01"/>
    <w:rsid w:val="00A7429A"/>
    <w:rsid w:val="00A86150"/>
    <w:rsid w:val="00A87284"/>
    <w:rsid w:val="00A8763F"/>
    <w:rsid w:val="00A91BA1"/>
    <w:rsid w:val="00A92C4B"/>
    <w:rsid w:val="00A93D38"/>
    <w:rsid w:val="00A94503"/>
    <w:rsid w:val="00A955CB"/>
    <w:rsid w:val="00AD0069"/>
    <w:rsid w:val="00AE483E"/>
    <w:rsid w:val="00AF5B1F"/>
    <w:rsid w:val="00B04D57"/>
    <w:rsid w:val="00B123BD"/>
    <w:rsid w:val="00B22F8C"/>
    <w:rsid w:val="00B41976"/>
    <w:rsid w:val="00B4380E"/>
    <w:rsid w:val="00B52E84"/>
    <w:rsid w:val="00B56D24"/>
    <w:rsid w:val="00B7168F"/>
    <w:rsid w:val="00B82E97"/>
    <w:rsid w:val="00B82F86"/>
    <w:rsid w:val="00B92E95"/>
    <w:rsid w:val="00BB0CBB"/>
    <w:rsid w:val="00BD7B29"/>
    <w:rsid w:val="00BE2637"/>
    <w:rsid w:val="00C00002"/>
    <w:rsid w:val="00C03608"/>
    <w:rsid w:val="00C0690F"/>
    <w:rsid w:val="00C31574"/>
    <w:rsid w:val="00C34F4F"/>
    <w:rsid w:val="00C37F15"/>
    <w:rsid w:val="00C478C6"/>
    <w:rsid w:val="00C50A71"/>
    <w:rsid w:val="00C57D23"/>
    <w:rsid w:val="00C61487"/>
    <w:rsid w:val="00C623ED"/>
    <w:rsid w:val="00C90B9A"/>
    <w:rsid w:val="00C92555"/>
    <w:rsid w:val="00CA54AF"/>
    <w:rsid w:val="00CD35CD"/>
    <w:rsid w:val="00CD55A4"/>
    <w:rsid w:val="00CE03EE"/>
    <w:rsid w:val="00D15C81"/>
    <w:rsid w:val="00D30119"/>
    <w:rsid w:val="00D4079A"/>
    <w:rsid w:val="00D46DF6"/>
    <w:rsid w:val="00D57624"/>
    <w:rsid w:val="00D61F9B"/>
    <w:rsid w:val="00D80D90"/>
    <w:rsid w:val="00D83577"/>
    <w:rsid w:val="00D95E54"/>
    <w:rsid w:val="00DB1678"/>
    <w:rsid w:val="00DC2C0F"/>
    <w:rsid w:val="00DC3A80"/>
    <w:rsid w:val="00DE1E08"/>
    <w:rsid w:val="00DE39B7"/>
    <w:rsid w:val="00DF7A33"/>
    <w:rsid w:val="00E129E7"/>
    <w:rsid w:val="00E23DE7"/>
    <w:rsid w:val="00E25557"/>
    <w:rsid w:val="00E37123"/>
    <w:rsid w:val="00E52220"/>
    <w:rsid w:val="00E5282E"/>
    <w:rsid w:val="00E558F3"/>
    <w:rsid w:val="00E642CC"/>
    <w:rsid w:val="00E81F45"/>
    <w:rsid w:val="00EB0B59"/>
    <w:rsid w:val="00EB0FBE"/>
    <w:rsid w:val="00EB4135"/>
    <w:rsid w:val="00EC5312"/>
    <w:rsid w:val="00ED3742"/>
    <w:rsid w:val="00EF0790"/>
    <w:rsid w:val="00EF2C03"/>
    <w:rsid w:val="00F01F8C"/>
    <w:rsid w:val="00F05051"/>
    <w:rsid w:val="00F11B9E"/>
    <w:rsid w:val="00F36D1D"/>
    <w:rsid w:val="00F420E0"/>
    <w:rsid w:val="00F42904"/>
    <w:rsid w:val="00F443FE"/>
    <w:rsid w:val="00F731E9"/>
    <w:rsid w:val="00F937FC"/>
    <w:rsid w:val="00F96185"/>
    <w:rsid w:val="00F96E38"/>
    <w:rsid w:val="00F971F0"/>
    <w:rsid w:val="00FA0F34"/>
    <w:rsid w:val="00FA1F05"/>
    <w:rsid w:val="00FA5E84"/>
    <w:rsid w:val="00FB4DC5"/>
    <w:rsid w:val="00FC437F"/>
    <w:rsid w:val="00FD1A4E"/>
    <w:rsid w:val="00FD68C4"/>
    <w:rsid w:val="00FE6302"/>
    <w:rsid w:val="00FE7F4B"/>
    <w:rsid w:val="00FF1896"/>
    <w:rsid w:val="00FF69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55BBC"/>
  </w:style>
  <w:style w:type="paragraph" w:styleId="Prrafodelista">
    <w:name w:val="List Paragraph"/>
    <w:basedOn w:val="Normal"/>
    <w:uiPriority w:val="34"/>
    <w:qFormat/>
    <w:rsid w:val="00412A50"/>
    <w:pPr>
      <w:ind w:left="720"/>
      <w:contextualSpacing/>
    </w:pPr>
  </w:style>
  <w:style w:type="character" w:styleId="Refdecomentario">
    <w:name w:val="annotation reference"/>
    <w:basedOn w:val="Fuentedeprrafopredeter"/>
    <w:uiPriority w:val="99"/>
    <w:semiHidden/>
    <w:unhideWhenUsed/>
    <w:rsid w:val="00B22F8C"/>
    <w:rPr>
      <w:sz w:val="16"/>
      <w:szCs w:val="16"/>
    </w:rPr>
  </w:style>
  <w:style w:type="paragraph" w:styleId="Textocomentario">
    <w:name w:val="annotation text"/>
    <w:basedOn w:val="Normal"/>
    <w:link w:val="TextocomentarioCar"/>
    <w:uiPriority w:val="99"/>
    <w:semiHidden/>
    <w:unhideWhenUsed/>
    <w:rsid w:val="00B22F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2F8C"/>
    <w:rPr>
      <w:sz w:val="20"/>
      <w:szCs w:val="20"/>
    </w:rPr>
  </w:style>
  <w:style w:type="paragraph" w:styleId="Asuntodelcomentario">
    <w:name w:val="annotation subject"/>
    <w:basedOn w:val="Textocomentario"/>
    <w:next w:val="Textocomentario"/>
    <w:link w:val="AsuntodelcomentarioCar"/>
    <w:uiPriority w:val="99"/>
    <w:semiHidden/>
    <w:unhideWhenUsed/>
    <w:rsid w:val="00B22F8C"/>
    <w:rPr>
      <w:b/>
      <w:bCs/>
    </w:rPr>
  </w:style>
  <w:style w:type="character" w:customStyle="1" w:styleId="AsuntodelcomentarioCar">
    <w:name w:val="Asunto del comentario Car"/>
    <w:basedOn w:val="TextocomentarioCar"/>
    <w:link w:val="Asuntodelcomentario"/>
    <w:uiPriority w:val="99"/>
    <w:semiHidden/>
    <w:rsid w:val="00B22F8C"/>
    <w:rPr>
      <w:b/>
      <w:bCs/>
      <w:sz w:val="20"/>
      <w:szCs w:val="20"/>
    </w:rPr>
  </w:style>
  <w:style w:type="paragraph" w:styleId="Textodeglobo">
    <w:name w:val="Balloon Text"/>
    <w:basedOn w:val="Normal"/>
    <w:link w:val="TextodegloboCar"/>
    <w:uiPriority w:val="99"/>
    <w:semiHidden/>
    <w:unhideWhenUsed/>
    <w:rsid w:val="00B22F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F8C"/>
    <w:rPr>
      <w:rFonts w:ascii="Tahoma" w:hAnsi="Tahoma" w:cs="Tahoma"/>
      <w:sz w:val="16"/>
      <w:szCs w:val="16"/>
    </w:rPr>
  </w:style>
  <w:style w:type="character" w:styleId="Hipervnculo">
    <w:name w:val="Hyperlink"/>
    <w:basedOn w:val="Fuentedeprrafopredeter"/>
    <w:uiPriority w:val="99"/>
    <w:unhideWhenUsed/>
    <w:rsid w:val="00F01F8C"/>
    <w:rPr>
      <w:color w:val="0563C1" w:themeColor="hyperlink"/>
      <w:u w:val="single"/>
    </w:rPr>
  </w:style>
  <w:style w:type="paragraph" w:styleId="NormalWeb">
    <w:name w:val="Normal (Web)"/>
    <w:basedOn w:val="Normal"/>
    <w:uiPriority w:val="99"/>
    <w:unhideWhenUsed/>
    <w:rsid w:val="00013D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B0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B59"/>
  </w:style>
  <w:style w:type="paragraph" w:styleId="Piedepgina">
    <w:name w:val="footer"/>
    <w:basedOn w:val="Normal"/>
    <w:link w:val="PiedepginaCar"/>
    <w:uiPriority w:val="99"/>
    <w:unhideWhenUsed/>
    <w:rsid w:val="00EB0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B59"/>
  </w:style>
  <w:style w:type="table" w:styleId="Tablaconcuadrcula">
    <w:name w:val="Table Grid"/>
    <w:basedOn w:val="Tablanormal"/>
    <w:uiPriority w:val="59"/>
    <w:rsid w:val="00FD6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63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55BBC"/>
  </w:style>
  <w:style w:type="paragraph" w:styleId="Prrafodelista">
    <w:name w:val="List Paragraph"/>
    <w:basedOn w:val="Normal"/>
    <w:uiPriority w:val="34"/>
    <w:qFormat/>
    <w:rsid w:val="00412A50"/>
    <w:pPr>
      <w:ind w:left="720"/>
      <w:contextualSpacing/>
    </w:pPr>
  </w:style>
  <w:style w:type="character" w:styleId="Refdecomentario">
    <w:name w:val="annotation reference"/>
    <w:basedOn w:val="Fuentedeprrafopredeter"/>
    <w:uiPriority w:val="99"/>
    <w:semiHidden/>
    <w:unhideWhenUsed/>
    <w:rsid w:val="00B22F8C"/>
    <w:rPr>
      <w:sz w:val="16"/>
      <w:szCs w:val="16"/>
    </w:rPr>
  </w:style>
  <w:style w:type="paragraph" w:styleId="Textocomentario">
    <w:name w:val="annotation text"/>
    <w:basedOn w:val="Normal"/>
    <w:link w:val="TextocomentarioCar"/>
    <w:uiPriority w:val="99"/>
    <w:semiHidden/>
    <w:unhideWhenUsed/>
    <w:rsid w:val="00B22F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2F8C"/>
    <w:rPr>
      <w:sz w:val="20"/>
      <w:szCs w:val="20"/>
    </w:rPr>
  </w:style>
  <w:style w:type="paragraph" w:styleId="Asuntodelcomentario">
    <w:name w:val="annotation subject"/>
    <w:basedOn w:val="Textocomentario"/>
    <w:next w:val="Textocomentario"/>
    <w:link w:val="AsuntodelcomentarioCar"/>
    <w:uiPriority w:val="99"/>
    <w:semiHidden/>
    <w:unhideWhenUsed/>
    <w:rsid w:val="00B22F8C"/>
    <w:rPr>
      <w:b/>
      <w:bCs/>
    </w:rPr>
  </w:style>
  <w:style w:type="character" w:customStyle="1" w:styleId="AsuntodelcomentarioCar">
    <w:name w:val="Asunto del comentario Car"/>
    <w:basedOn w:val="TextocomentarioCar"/>
    <w:link w:val="Asuntodelcomentario"/>
    <w:uiPriority w:val="99"/>
    <w:semiHidden/>
    <w:rsid w:val="00B22F8C"/>
    <w:rPr>
      <w:b/>
      <w:bCs/>
      <w:sz w:val="20"/>
      <w:szCs w:val="20"/>
    </w:rPr>
  </w:style>
  <w:style w:type="paragraph" w:styleId="Textodeglobo">
    <w:name w:val="Balloon Text"/>
    <w:basedOn w:val="Normal"/>
    <w:link w:val="TextodegloboCar"/>
    <w:uiPriority w:val="99"/>
    <w:semiHidden/>
    <w:unhideWhenUsed/>
    <w:rsid w:val="00B22F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F8C"/>
    <w:rPr>
      <w:rFonts w:ascii="Tahoma" w:hAnsi="Tahoma" w:cs="Tahoma"/>
      <w:sz w:val="16"/>
      <w:szCs w:val="16"/>
    </w:rPr>
  </w:style>
  <w:style w:type="character" w:styleId="Hipervnculo">
    <w:name w:val="Hyperlink"/>
    <w:basedOn w:val="Fuentedeprrafopredeter"/>
    <w:uiPriority w:val="99"/>
    <w:unhideWhenUsed/>
    <w:rsid w:val="00F01F8C"/>
    <w:rPr>
      <w:color w:val="0563C1" w:themeColor="hyperlink"/>
      <w:u w:val="single"/>
    </w:rPr>
  </w:style>
  <w:style w:type="paragraph" w:styleId="NormalWeb">
    <w:name w:val="Normal (Web)"/>
    <w:basedOn w:val="Normal"/>
    <w:uiPriority w:val="99"/>
    <w:unhideWhenUsed/>
    <w:rsid w:val="00013D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B0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B59"/>
  </w:style>
  <w:style w:type="paragraph" w:styleId="Piedepgina">
    <w:name w:val="footer"/>
    <w:basedOn w:val="Normal"/>
    <w:link w:val="PiedepginaCar"/>
    <w:uiPriority w:val="99"/>
    <w:unhideWhenUsed/>
    <w:rsid w:val="00EB0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B59"/>
  </w:style>
  <w:style w:type="table" w:styleId="Tablaconcuadrcula">
    <w:name w:val="Table Grid"/>
    <w:basedOn w:val="Tablanormal"/>
    <w:uiPriority w:val="59"/>
    <w:rsid w:val="00FD6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63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5789">
      <w:bodyDiv w:val="1"/>
      <w:marLeft w:val="0"/>
      <w:marRight w:val="0"/>
      <w:marTop w:val="0"/>
      <w:marBottom w:val="0"/>
      <w:divBdr>
        <w:top w:val="none" w:sz="0" w:space="0" w:color="auto"/>
        <w:left w:val="none" w:sz="0" w:space="0" w:color="auto"/>
        <w:bottom w:val="none" w:sz="0" w:space="0" w:color="auto"/>
        <w:right w:val="none" w:sz="0" w:space="0" w:color="auto"/>
      </w:divBdr>
      <w:divsChild>
        <w:div w:id="499733030">
          <w:marLeft w:val="0"/>
          <w:marRight w:val="0"/>
          <w:marTop w:val="0"/>
          <w:marBottom w:val="0"/>
          <w:divBdr>
            <w:top w:val="none" w:sz="0" w:space="0" w:color="auto"/>
            <w:left w:val="none" w:sz="0" w:space="0" w:color="auto"/>
            <w:bottom w:val="none" w:sz="0" w:space="0" w:color="auto"/>
            <w:right w:val="none" w:sz="0" w:space="0" w:color="auto"/>
          </w:divBdr>
        </w:div>
        <w:div w:id="504788508">
          <w:marLeft w:val="0"/>
          <w:marRight w:val="0"/>
          <w:marTop w:val="0"/>
          <w:marBottom w:val="0"/>
          <w:divBdr>
            <w:top w:val="none" w:sz="0" w:space="0" w:color="auto"/>
            <w:left w:val="none" w:sz="0" w:space="0" w:color="auto"/>
            <w:bottom w:val="none" w:sz="0" w:space="0" w:color="auto"/>
            <w:right w:val="none" w:sz="0" w:space="0" w:color="auto"/>
          </w:divBdr>
        </w:div>
      </w:divsChild>
    </w:div>
    <w:div w:id="992829184">
      <w:bodyDiv w:val="1"/>
      <w:marLeft w:val="0"/>
      <w:marRight w:val="0"/>
      <w:marTop w:val="0"/>
      <w:marBottom w:val="0"/>
      <w:divBdr>
        <w:top w:val="none" w:sz="0" w:space="0" w:color="auto"/>
        <w:left w:val="none" w:sz="0" w:space="0" w:color="auto"/>
        <w:bottom w:val="none" w:sz="0" w:space="0" w:color="auto"/>
        <w:right w:val="none" w:sz="0" w:space="0" w:color="auto"/>
      </w:divBdr>
      <w:divsChild>
        <w:div w:id="1997147197">
          <w:marLeft w:val="0"/>
          <w:marRight w:val="0"/>
          <w:marTop w:val="0"/>
          <w:marBottom w:val="0"/>
          <w:divBdr>
            <w:top w:val="none" w:sz="0" w:space="0" w:color="auto"/>
            <w:left w:val="none" w:sz="0" w:space="0" w:color="auto"/>
            <w:bottom w:val="none" w:sz="0" w:space="0" w:color="auto"/>
            <w:right w:val="none" w:sz="0" w:space="0" w:color="auto"/>
          </w:divBdr>
        </w:div>
        <w:div w:id="43797641">
          <w:marLeft w:val="0"/>
          <w:marRight w:val="0"/>
          <w:marTop w:val="0"/>
          <w:marBottom w:val="0"/>
          <w:divBdr>
            <w:top w:val="none" w:sz="0" w:space="0" w:color="auto"/>
            <w:left w:val="none" w:sz="0" w:space="0" w:color="auto"/>
            <w:bottom w:val="none" w:sz="0" w:space="0" w:color="auto"/>
            <w:right w:val="none" w:sz="0" w:space="0" w:color="auto"/>
          </w:divBdr>
        </w:div>
      </w:divsChild>
    </w:div>
    <w:div w:id="1760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os.ujat.mx/abogado_gral/legislacion_universitaria09/reglamento_servicio_soci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jat.mx/Contenido/InteriorAdentro/127/4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oserver.unam.mx/portaldgose/servicio-social/htmls/ss-carreras/ssc-perfil-profesional/ssc-perfiles-ciencias-sociales/ssc-perfil-economi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006-2012.sedesol.gob.mx/es/SEDESOL/Prog_Jovenes_por_Mexico" TargetMode="External"/><Relationship Id="rId4" Type="http://schemas.microsoft.com/office/2007/relationships/stylesWithEffects" Target="stylesWithEffects.xml"/><Relationship Id="rId9" Type="http://schemas.openxmlformats.org/officeDocument/2006/relationships/hyperlink" Target="http://www.redalyc.org/pdf/737/73712105.pdf" TargetMode="External"/><Relationship Id="rId14" Type="http://schemas.openxmlformats.org/officeDocument/2006/relationships/hyperlink" Target="mailto:cara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49A5-AB7F-480C-8EB9-BFBCCA8B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4852</Words>
  <Characters>26691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Díaz López</dc:creator>
  <cp:lastModifiedBy>HP01</cp:lastModifiedBy>
  <cp:revision>2</cp:revision>
  <cp:lastPrinted>2015-05-06T19:23:00Z</cp:lastPrinted>
  <dcterms:created xsi:type="dcterms:W3CDTF">2016-02-29T18:10:00Z</dcterms:created>
  <dcterms:modified xsi:type="dcterms:W3CDTF">2016-02-29T18:10:00Z</dcterms:modified>
</cp:coreProperties>
</file>